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CE3A" w14:textId="77777777" w:rsidR="00862F58" w:rsidRDefault="00000000">
      <w:pPr>
        <w:pStyle w:val="1"/>
        <w:jc w:val="both"/>
        <w:rPr>
          <w:sz w:val="28"/>
          <w:szCs w:val="22"/>
        </w:rPr>
      </w:pPr>
      <w:bookmarkStart w:id="0" w:name="_Toc392940984"/>
      <w:bookmarkStart w:id="1" w:name="_Toc195286314"/>
      <w:bookmarkStart w:id="2" w:name="_Toc459567788"/>
      <w:r>
        <w:rPr>
          <w:rFonts w:hint="eastAsia"/>
          <w:sz w:val="28"/>
          <w:szCs w:val="22"/>
        </w:rPr>
        <w:t>附件：</w:t>
      </w:r>
    </w:p>
    <w:p w14:paraId="097364E3" w14:textId="5BDA5C43" w:rsidR="00862F58" w:rsidRDefault="00000000">
      <w:pPr>
        <w:pStyle w:val="1"/>
      </w:pPr>
      <w:r>
        <w:rPr>
          <w:rFonts w:hint="eastAsia"/>
        </w:rPr>
        <w:t>评分</w:t>
      </w:r>
      <w:r>
        <w:t>办法</w:t>
      </w:r>
      <w:bookmarkEnd w:id="0"/>
      <w:bookmarkEnd w:id="1"/>
      <w:bookmarkEnd w:id="2"/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736"/>
        <w:gridCol w:w="6854"/>
      </w:tblGrid>
      <w:tr w:rsidR="00862F58" w14:paraId="626CBF54" w14:textId="77777777">
        <w:trPr>
          <w:trHeight w:hRule="exact" w:val="454"/>
          <w:jc w:val="center"/>
        </w:trPr>
        <w:tc>
          <w:tcPr>
            <w:tcW w:w="696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AF20C77" w14:textId="77777777" w:rsidR="00862F58" w:rsidRDefault="0000000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评审因素</w:t>
            </w:r>
          </w:p>
        </w:tc>
        <w:tc>
          <w:tcPr>
            <w:tcW w:w="4304" w:type="pct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2D50D52" w14:textId="77777777" w:rsidR="00862F58" w:rsidRDefault="0000000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评审标准</w:t>
            </w:r>
          </w:p>
        </w:tc>
      </w:tr>
      <w:tr w:rsidR="00862F58" w14:paraId="24F04F54" w14:textId="77777777">
        <w:trPr>
          <w:trHeight w:hRule="exact" w:val="846"/>
          <w:jc w:val="center"/>
        </w:trPr>
        <w:tc>
          <w:tcPr>
            <w:tcW w:w="69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0F4F0BB" w14:textId="77777777" w:rsidR="00862F58" w:rsidRDefault="00000000">
            <w:pPr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资格</w:t>
            </w:r>
          </w:p>
          <w:p w14:paraId="4FC3E909" w14:textId="77777777" w:rsidR="00862F58" w:rsidRDefault="00000000">
            <w:pPr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评审标准</w:t>
            </w:r>
          </w:p>
        </w:tc>
        <w:tc>
          <w:tcPr>
            <w:tcW w:w="4304" w:type="pct"/>
            <w:gridSpan w:val="2"/>
            <w:tcMar>
              <w:left w:w="57" w:type="dxa"/>
              <w:right w:w="57" w:type="dxa"/>
            </w:tcMar>
            <w:vAlign w:val="center"/>
          </w:tcPr>
          <w:p w14:paraId="29CFD377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cs="宋体" w:hint="eastAsia"/>
                <w:b/>
                <w:bCs/>
              </w:rPr>
              <w:t>合格标准：缺少任何一项或有任何一项不合格者，其资格审查视为不合格</w:t>
            </w:r>
          </w:p>
        </w:tc>
      </w:tr>
      <w:tr w:rsidR="00862F58" w14:paraId="21E01A30" w14:textId="77777777">
        <w:trPr>
          <w:trHeight w:hRule="exact" w:val="473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  <w:vAlign w:val="center"/>
          </w:tcPr>
          <w:p w14:paraId="32200DDA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12C030DA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营业执照</w:t>
            </w:r>
          </w:p>
        </w:tc>
        <w:tc>
          <w:tcPr>
            <w:tcW w:w="3434" w:type="pct"/>
            <w:vAlign w:val="center"/>
          </w:tcPr>
          <w:p w14:paraId="721EC7B3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具备有效的营业执照</w:t>
            </w:r>
          </w:p>
        </w:tc>
      </w:tr>
      <w:tr w:rsidR="00862F58" w14:paraId="7EB59C24" w14:textId="77777777">
        <w:trPr>
          <w:trHeight w:hRule="exact" w:val="457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  <w:vAlign w:val="center"/>
          </w:tcPr>
          <w:p w14:paraId="2D59562A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574B61F9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资质等级</w:t>
            </w:r>
          </w:p>
        </w:tc>
        <w:tc>
          <w:tcPr>
            <w:tcW w:w="3434" w:type="pct"/>
            <w:vAlign w:val="center"/>
          </w:tcPr>
          <w:p w14:paraId="01FA69B3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 w:rsidR="00862F58" w14:paraId="62EABFCD" w14:textId="77777777">
        <w:trPr>
          <w:trHeight w:hRule="exact" w:val="910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  <w:vAlign w:val="center"/>
          </w:tcPr>
          <w:p w14:paraId="1834000D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1DF2BD94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项目经理及专职安全员</w:t>
            </w:r>
          </w:p>
        </w:tc>
        <w:tc>
          <w:tcPr>
            <w:tcW w:w="3434" w:type="pct"/>
            <w:vAlign w:val="center"/>
          </w:tcPr>
          <w:p w14:paraId="045F9BDA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 w:rsidR="00862F58" w14:paraId="6FC20C69" w14:textId="77777777">
        <w:trPr>
          <w:trHeight w:hRule="exact" w:val="454"/>
          <w:jc w:val="center"/>
        </w:trPr>
        <w:tc>
          <w:tcPr>
            <w:tcW w:w="69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2CD11DC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符合性</w:t>
            </w:r>
          </w:p>
          <w:p w14:paraId="7032FE75" w14:textId="77777777" w:rsidR="00862F58" w:rsidRDefault="00000000">
            <w:pPr>
              <w:spacing w:line="360" w:lineRule="auto"/>
              <w:jc w:val="center"/>
              <w:rPr>
                <w:strike/>
                <w:szCs w:val="21"/>
              </w:rPr>
            </w:pPr>
            <w:r>
              <w:rPr>
                <w:rFonts w:hAnsi="宋体"/>
                <w:szCs w:val="21"/>
              </w:rPr>
              <w:t>评审标准</w:t>
            </w:r>
          </w:p>
        </w:tc>
        <w:tc>
          <w:tcPr>
            <w:tcW w:w="4304" w:type="pct"/>
            <w:gridSpan w:val="2"/>
            <w:tcMar>
              <w:left w:w="57" w:type="dxa"/>
              <w:right w:w="57" w:type="dxa"/>
            </w:tcMar>
            <w:vAlign w:val="center"/>
          </w:tcPr>
          <w:p w14:paraId="6F58D107" w14:textId="77777777" w:rsidR="00862F58" w:rsidRDefault="00000000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合格标准：有任何一项不合格者，其</w:t>
            </w:r>
            <w:r>
              <w:rPr>
                <w:rFonts w:hAnsi="宋体"/>
                <w:b/>
                <w:bCs/>
                <w:szCs w:val="21"/>
              </w:rPr>
              <w:t>符合性评审</w:t>
            </w:r>
            <w:r>
              <w:rPr>
                <w:rFonts w:hAnsi="宋体" w:hint="eastAsia"/>
                <w:b/>
                <w:bCs/>
                <w:szCs w:val="21"/>
              </w:rPr>
              <w:t>均视为不合格</w:t>
            </w:r>
          </w:p>
          <w:p w14:paraId="3D57E391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62F58" w14:paraId="2EF8D4AD" w14:textId="77777777">
        <w:trPr>
          <w:trHeight w:hRule="exact" w:val="454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  <w:vAlign w:val="center"/>
          </w:tcPr>
          <w:p w14:paraId="02631714" w14:textId="77777777" w:rsidR="00862F58" w:rsidRDefault="00862F58">
            <w:pPr>
              <w:spacing w:line="360" w:lineRule="auto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2E79025B" w14:textId="77777777" w:rsidR="00862F58" w:rsidRDefault="00000000">
            <w:pPr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投标人名称</w:t>
            </w:r>
          </w:p>
        </w:tc>
        <w:tc>
          <w:tcPr>
            <w:tcW w:w="3434" w:type="pct"/>
            <w:vAlign w:val="center"/>
          </w:tcPr>
          <w:p w14:paraId="735C175A" w14:textId="77777777" w:rsidR="00862F58" w:rsidRDefault="00000000">
            <w:pPr>
              <w:spacing w:line="360" w:lineRule="auto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与营业执照、资质证书一致</w:t>
            </w:r>
          </w:p>
        </w:tc>
      </w:tr>
      <w:tr w:rsidR="00862F58" w14:paraId="7B15EEAD" w14:textId="77777777">
        <w:trPr>
          <w:trHeight w:hRule="exact" w:val="538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  <w:vAlign w:val="center"/>
          </w:tcPr>
          <w:p w14:paraId="1B03C9CA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7B611528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投标</w:t>
            </w:r>
            <w:r>
              <w:rPr>
                <w:rFonts w:hAnsi="宋体" w:hint="eastAsia"/>
                <w:szCs w:val="21"/>
              </w:rPr>
              <w:t>文件</w:t>
            </w:r>
            <w:r>
              <w:rPr>
                <w:rFonts w:hAnsi="宋体"/>
                <w:szCs w:val="21"/>
              </w:rPr>
              <w:t>盖章</w:t>
            </w:r>
          </w:p>
        </w:tc>
        <w:tc>
          <w:tcPr>
            <w:tcW w:w="3434" w:type="pct"/>
            <w:vAlign w:val="center"/>
          </w:tcPr>
          <w:p w14:paraId="5675AA5F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盖投标人法</w:t>
            </w:r>
            <w:r>
              <w:rPr>
                <w:szCs w:val="21"/>
              </w:rPr>
              <w:t>人单位</w:t>
            </w:r>
            <w:r>
              <w:rPr>
                <w:rFonts w:hint="eastAsia"/>
                <w:szCs w:val="21"/>
              </w:rPr>
              <w:t>印章</w:t>
            </w:r>
          </w:p>
        </w:tc>
      </w:tr>
      <w:tr w:rsidR="00862F58" w14:paraId="46B0DA23" w14:textId="77777777">
        <w:trPr>
          <w:trHeight w:hRule="exact" w:val="454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  <w:vAlign w:val="center"/>
          </w:tcPr>
          <w:p w14:paraId="13725FD5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25D320F5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投标报价</w:t>
            </w:r>
          </w:p>
        </w:tc>
        <w:tc>
          <w:tcPr>
            <w:tcW w:w="3434" w:type="pct"/>
            <w:vAlign w:val="center"/>
          </w:tcPr>
          <w:p w14:paraId="2FA421C9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符合采购公告要求</w:t>
            </w:r>
          </w:p>
        </w:tc>
      </w:tr>
      <w:tr w:rsidR="00862F58" w14:paraId="022C1196" w14:textId="77777777">
        <w:trPr>
          <w:trHeight w:val="237"/>
          <w:jc w:val="center"/>
        </w:trPr>
        <w:tc>
          <w:tcPr>
            <w:tcW w:w="69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9AD3A73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评分标准</w:t>
            </w:r>
          </w:p>
          <w:p w14:paraId="55A7F710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27BDFDE0" w14:textId="77777777" w:rsidR="00862F5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项目经理资格</w:t>
            </w:r>
            <w:r>
              <w:rPr>
                <w:rFonts w:hAnsi="宋体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~10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 w14:paraId="3EC144C7" w14:textId="77777777" w:rsidR="00862F58" w:rsidRDefault="00000000">
            <w:pPr>
              <w:spacing w:line="360" w:lineRule="auto"/>
              <w:jc w:val="left"/>
            </w:pPr>
            <w:r>
              <w:rPr>
                <w:rFonts w:hAnsi="宋体" w:hint="eastAsia"/>
                <w:szCs w:val="21"/>
              </w:rPr>
              <w:t>项目经理</w:t>
            </w:r>
            <w:r>
              <w:rPr>
                <w:rFonts w:hAnsi="宋体"/>
                <w:szCs w:val="21"/>
              </w:rPr>
              <w:t>职称</w:t>
            </w:r>
            <w:r>
              <w:rPr>
                <w:rFonts w:hAnsi="宋体" w:hint="eastAsia"/>
                <w:szCs w:val="21"/>
              </w:rPr>
              <w:t>、学历：具有</w:t>
            </w:r>
            <w:r>
              <w:rPr>
                <w:rFonts w:hAnsi="宋体"/>
                <w:szCs w:val="21"/>
              </w:rPr>
              <w:t>工程师</w:t>
            </w:r>
            <w:r>
              <w:rPr>
                <w:rFonts w:hAnsi="宋体" w:hint="eastAsia"/>
                <w:szCs w:val="21"/>
              </w:rPr>
              <w:t>职称的得</w:t>
            </w:r>
            <w:r>
              <w:rPr>
                <w:rFonts w:hAnsi="宋体" w:hint="eastAsia"/>
                <w:szCs w:val="21"/>
                <w:u w:val="single"/>
              </w:rPr>
              <w:t>1</w:t>
            </w:r>
            <w:r>
              <w:rPr>
                <w:rFonts w:hAnsi="宋体" w:hint="eastAsia"/>
                <w:szCs w:val="21"/>
              </w:rPr>
              <w:t>分，具有高级</w:t>
            </w:r>
            <w:r>
              <w:rPr>
                <w:rFonts w:hAnsi="宋体"/>
                <w:szCs w:val="21"/>
              </w:rPr>
              <w:t>工程师</w:t>
            </w:r>
            <w:r>
              <w:rPr>
                <w:rFonts w:hAnsi="宋体" w:hint="eastAsia"/>
                <w:szCs w:val="21"/>
              </w:rPr>
              <w:t>及以上职称的得</w:t>
            </w:r>
            <w:r>
              <w:rPr>
                <w:rFonts w:hAnsi="宋体" w:hint="eastAsia"/>
                <w:szCs w:val="21"/>
                <w:u w:val="single"/>
              </w:rPr>
              <w:t>3</w:t>
            </w:r>
            <w:r>
              <w:rPr>
                <w:rFonts w:hAnsi="宋体" w:hint="eastAsia"/>
                <w:szCs w:val="21"/>
              </w:rPr>
              <w:t>分；</w:t>
            </w:r>
            <w:r>
              <w:t>具有</w:t>
            </w:r>
            <w:r>
              <w:rPr>
                <w:rFonts w:hint="eastAsia"/>
                <w:u w:val="single"/>
              </w:rPr>
              <w:t>建筑工程类</w:t>
            </w:r>
            <w:r>
              <w:rPr>
                <w:rFonts w:hint="eastAsia"/>
              </w:rPr>
              <w:t>专业</w:t>
            </w:r>
            <w:r>
              <w:t>大学专科学历及以上的得</w:t>
            </w:r>
            <w:r>
              <w:rPr>
                <w:rFonts w:hint="eastAsia"/>
                <w:u w:val="single"/>
              </w:rPr>
              <w:t>1</w:t>
            </w:r>
            <w:r>
              <w:t>分，具有</w:t>
            </w:r>
            <w:r>
              <w:rPr>
                <w:rFonts w:hint="eastAsia"/>
                <w:u w:val="single"/>
              </w:rPr>
              <w:t>建筑工程类</w:t>
            </w:r>
            <w:r>
              <w:rPr>
                <w:rFonts w:hint="eastAsia"/>
              </w:rPr>
              <w:t>专业</w:t>
            </w:r>
            <w:r>
              <w:t>大学</w:t>
            </w:r>
            <w:r>
              <w:rPr>
                <w:rFonts w:hint="eastAsia"/>
              </w:rPr>
              <w:t>本</w:t>
            </w:r>
            <w:r>
              <w:t>科学历的得</w:t>
            </w:r>
            <w:r>
              <w:rPr>
                <w:rFonts w:hint="eastAsia"/>
                <w:u w:val="single"/>
              </w:rPr>
              <w:t>2</w:t>
            </w:r>
            <w:r>
              <w:t>分。</w:t>
            </w:r>
          </w:p>
          <w:p w14:paraId="17786E4C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项目经理从业经历：自</w:t>
            </w:r>
            <w:r>
              <w:rPr>
                <w:rFonts w:hAnsi="宋体" w:hint="eastAsia"/>
                <w:szCs w:val="21"/>
              </w:rPr>
              <w:t>2020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日以来至材料文件递交时间止完成过类似项目业绩（</w:t>
            </w:r>
            <w:r>
              <w:rPr>
                <w:rFonts w:hAnsi="宋体" w:hint="eastAsia"/>
                <w:color w:val="FF0000"/>
                <w:szCs w:val="21"/>
                <w:highlight w:val="yellow"/>
              </w:rPr>
              <w:t>类似业绩指：</w:t>
            </w:r>
            <w:r>
              <w:rPr>
                <w:rFonts w:hAnsi="宋体" w:hint="eastAsia"/>
                <w:color w:val="FF0000"/>
                <w:szCs w:val="21"/>
                <w:highlight w:val="yellow"/>
              </w:rPr>
              <w:t>6.80</w:t>
            </w:r>
            <w:r>
              <w:rPr>
                <w:rFonts w:hAnsi="宋体" w:hint="eastAsia"/>
                <w:color w:val="FF0000"/>
                <w:szCs w:val="21"/>
                <w:highlight w:val="yellow"/>
              </w:rPr>
              <w:t>万元（含）以上的建筑、装修工程项目</w:t>
            </w:r>
            <w:r>
              <w:rPr>
                <w:rFonts w:hAnsi="宋体" w:hint="eastAsia"/>
                <w:szCs w:val="21"/>
              </w:rPr>
              <w:t>），每完成过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个类似项目得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分，满分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分。</w:t>
            </w:r>
          </w:p>
        </w:tc>
      </w:tr>
      <w:tr w:rsidR="00862F58" w14:paraId="6B1CE531" w14:textId="77777777">
        <w:trPr>
          <w:trHeight w:val="237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</w:tcPr>
          <w:p w14:paraId="6FAB4EE7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19FEE298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Ansi="宋体"/>
              </w:rPr>
              <w:t>投标人资质情况</w:t>
            </w:r>
          </w:p>
          <w:p w14:paraId="62479032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Ansi="宋体"/>
              </w:rPr>
              <w:t>（</w:t>
            </w:r>
            <w:r>
              <w:rPr>
                <w:rFonts w:hAnsi="宋体" w:hint="eastAsia"/>
              </w:rPr>
              <w:t>0</w:t>
            </w:r>
            <w:r>
              <w:rPr>
                <w:rFonts w:hAnsi="宋体"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  <w:vAlign w:val="center"/>
          </w:tcPr>
          <w:p w14:paraId="6E73CA18" w14:textId="77777777" w:rsidR="00862F58" w:rsidRDefault="00000000">
            <w:pPr>
              <w:spacing w:line="360" w:lineRule="auto"/>
              <w:jc w:val="left"/>
            </w:pPr>
            <w:r>
              <w:rPr>
                <w:color w:val="FF0000"/>
              </w:rPr>
              <w:t>投标人具备</w:t>
            </w:r>
            <w:r>
              <w:rPr>
                <w:rFonts w:hint="eastAsia"/>
                <w:color w:val="FF0000"/>
                <w:u w:val="single"/>
              </w:rPr>
              <w:t>建筑工程施工总承包三级资质</w:t>
            </w:r>
            <w:r>
              <w:rPr>
                <w:color w:val="FF0000"/>
              </w:rPr>
              <w:t>的得</w:t>
            </w:r>
            <w:r>
              <w:rPr>
                <w:rFonts w:hint="eastAsia"/>
                <w:color w:val="FF0000"/>
                <w:u w:val="single"/>
              </w:rPr>
              <w:t>1</w:t>
            </w:r>
            <w:r>
              <w:rPr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具备</w:t>
            </w:r>
            <w:r>
              <w:rPr>
                <w:rFonts w:hint="eastAsia"/>
                <w:color w:val="FF0000"/>
                <w:u w:val="single"/>
              </w:rPr>
              <w:t>建筑工程施工总承包二级资质</w:t>
            </w:r>
            <w:r>
              <w:rPr>
                <w:color w:val="FF0000"/>
              </w:rPr>
              <w:t>得</w:t>
            </w:r>
            <w:r>
              <w:rPr>
                <w:rFonts w:hint="eastAsia"/>
                <w:color w:val="FF0000"/>
                <w:u w:val="single"/>
              </w:rPr>
              <w:t>2</w:t>
            </w:r>
            <w:r>
              <w:rPr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具备</w:t>
            </w:r>
            <w:r>
              <w:rPr>
                <w:rFonts w:hint="eastAsia"/>
                <w:color w:val="FF0000"/>
                <w:u w:val="single"/>
              </w:rPr>
              <w:t>建筑工程施工总承包一级资质</w:t>
            </w:r>
            <w:r>
              <w:rPr>
                <w:color w:val="FF0000"/>
              </w:rPr>
              <w:t>的得</w:t>
            </w:r>
            <w:r>
              <w:rPr>
                <w:rFonts w:hint="eastAsia"/>
                <w:color w:val="FF0000"/>
                <w:u w:val="single"/>
              </w:rPr>
              <w:t>5</w:t>
            </w:r>
            <w:r>
              <w:rPr>
                <w:color w:val="FF0000"/>
              </w:rPr>
              <w:t>分。（此项满分</w:t>
            </w:r>
            <w:r>
              <w:rPr>
                <w:rFonts w:hint="eastAsia"/>
                <w:color w:val="FF0000"/>
                <w:u w:val="single"/>
              </w:rPr>
              <w:t>5</w:t>
            </w:r>
            <w:r>
              <w:rPr>
                <w:color w:val="FF0000"/>
              </w:rPr>
              <w:t>分）。</w:t>
            </w:r>
          </w:p>
        </w:tc>
      </w:tr>
      <w:tr w:rsidR="00862F58" w14:paraId="4DF2EE31" w14:textId="77777777">
        <w:trPr>
          <w:trHeight w:val="2093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</w:tcPr>
          <w:p w14:paraId="4E9166FC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3B28B7D3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int="eastAsia"/>
              </w:rPr>
              <w:t>投标报价分</w:t>
            </w:r>
          </w:p>
          <w:p w14:paraId="2420F12C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Ansi="宋体" w:hint="eastAsia"/>
              </w:rPr>
              <w:t>0</w:t>
            </w:r>
            <w:r>
              <w:rPr>
                <w:rFonts w:hAnsi="宋体" w:hint="eastAsia"/>
                <w:szCs w:val="21"/>
              </w:rPr>
              <w:t>~2</w:t>
            </w:r>
            <w:r>
              <w:rPr>
                <w:szCs w:val="21"/>
              </w:rPr>
              <w:t>0</w:t>
            </w:r>
            <w:r>
              <w:rPr>
                <w:rFonts w:hAnsi="宋体"/>
                <w:szCs w:val="21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  <w:vAlign w:val="center"/>
          </w:tcPr>
          <w:p w14:paraId="1ED0DE75" w14:textId="77777777" w:rsidR="00862F58" w:rsidRDefault="00000000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以满足采购公告要求且下浮系数最高的投标报价为评审基准</w:t>
            </w:r>
            <w:r>
              <w:rPr>
                <w:rFonts w:hint="eastAsia"/>
                <w:color w:val="FF0000"/>
              </w:rPr>
              <w:t>系数</w:t>
            </w:r>
            <w:r>
              <w:rPr>
                <w:color w:val="FF0000"/>
              </w:rPr>
              <w:t>，其价格分为满分。其他供应商的价格分统一按照下列公式计算：投标报价得分</w:t>
            </w:r>
            <w:r>
              <w:rPr>
                <w:color w:val="FF0000"/>
              </w:rPr>
              <w:t>=</w:t>
            </w:r>
            <w:r>
              <w:rPr>
                <w:color w:val="FF0000"/>
              </w:rPr>
              <w:t>（下浮系数</w:t>
            </w:r>
            <w:r>
              <w:rPr>
                <w:color w:val="FF0000"/>
              </w:rPr>
              <w:t>/</w:t>
            </w:r>
            <w:r>
              <w:rPr>
                <w:color w:val="FF0000"/>
              </w:rPr>
              <w:t>评审基准</w:t>
            </w:r>
            <w:r>
              <w:rPr>
                <w:rFonts w:hint="eastAsia"/>
                <w:color w:val="FF0000"/>
              </w:rPr>
              <w:t>系数</w:t>
            </w:r>
            <w:r>
              <w:rPr>
                <w:color w:val="FF0000"/>
              </w:rPr>
              <w:t>）</w:t>
            </w:r>
            <w:r>
              <w:rPr>
                <w:color w:val="FF0000"/>
              </w:rPr>
              <w:t>×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</w:t>
            </w:r>
            <w:r>
              <w:rPr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862F58" w14:paraId="2E172655" w14:textId="77777777">
        <w:trPr>
          <w:trHeight w:val="558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</w:tcPr>
          <w:p w14:paraId="7BA8B6C6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1278B621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ascii="Arial" w:hAnsi="Arial" w:cs="Arial"/>
                <w:szCs w:val="21"/>
                <w:lang w:bidi="ar"/>
              </w:rPr>
              <w:t>主要施工方法</w:t>
            </w:r>
            <w:r>
              <w:rPr>
                <w:rFonts w:hint="eastAsia"/>
              </w:rPr>
              <w:t>(0~10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 w14:paraId="3BEFCE8E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对项目总体有深刻认识，包括主要分部分项工程的关键施工技术、工艺，表述清晰、完整，严谨、合理，措施先进、具体、有效、成熟，采用了已论证的新技术、新工艺、新材料、新设备；施工段划分呼应总体表述，划分清晰、合理，符合规范要求。</w:t>
            </w:r>
          </w:p>
          <w:p w14:paraId="79D3EAC2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：对项目总体有一定认识，表述清晰、完整，措施具体有效；施工段划分呼应总体表述，划分清晰，符合规范要求。</w:t>
            </w:r>
          </w:p>
          <w:p w14:paraId="51E21820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：对项目认识不足，表述不清晰，措施不具体；施工段划分不合理。</w:t>
            </w:r>
          </w:p>
          <w:p w14:paraId="69C46302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未提供不得分。</w:t>
            </w:r>
          </w:p>
        </w:tc>
      </w:tr>
      <w:tr w:rsidR="00862F58" w14:paraId="139F614F" w14:textId="77777777">
        <w:trPr>
          <w:trHeight w:val="2093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</w:tcPr>
          <w:p w14:paraId="49266637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612C35ED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int="eastAsia"/>
              </w:rPr>
              <w:t>劳动力安排计划</w:t>
            </w:r>
            <w:r>
              <w:rPr>
                <w:rFonts w:hint="eastAsia"/>
              </w:rPr>
              <w:t>(0~10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 w14:paraId="781DBF27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：各主要施工工序应有详细周密的劳动力安排计划，有各工种劳动力安排计划，劳动力投入合理，满足施工需要。</w:t>
            </w:r>
          </w:p>
          <w:p w14:paraId="283B3740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：各主要施工工序应有详细周密的劳动力安排计划，有各工种劳动力安排计划，劳动力投入基本合理，满足施工需要。</w:t>
            </w:r>
          </w:p>
          <w:p w14:paraId="02C3644D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差（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分）：各主要施工工序有劳动力安排计划，有各工种劳动力安排计划，劳动力投入基本合理，基本满足施工需要。</w:t>
            </w:r>
          </w:p>
          <w:p w14:paraId="1CEB8D7B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未提供不得分。</w:t>
            </w:r>
          </w:p>
        </w:tc>
      </w:tr>
      <w:tr w:rsidR="00862F58" w14:paraId="33FCAC06" w14:textId="77777777">
        <w:trPr>
          <w:trHeight w:val="2093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</w:tcPr>
          <w:p w14:paraId="6464D1F6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0AD7C866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int="eastAsia"/>
              </w:rPr>
              <w:t>确保工程质量的技术组织措施</w:t>
            </w:r>
          </w:p>
          <w:p w14:paraId="132FB877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int="eastAsia"/>
              </w:rPr>
              <w:t>(0~15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 w14:paraId="28C464AE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：编制的各分部分项工程的主要施工方法完善、合理、满足项目的实际施工要求。针对项目实际提出先进、可行、具体的保证措施，质量保证承诺具体。</w:t>
            </w:r>
          </w:p>
          <w:p w14:paraId="11572A93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：编制的各分部分项工程的主要施工方法基本完善、基本满足项目的实际施工要求。针对项目实际提出可行、具体的保证措施，满足磋商文件的质量要求。</w:t>
            </w:r>
          </w:p>
          <w:p w14:paraId="58090831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差（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分）：编制的各分部分项工程的主要施工方法不完善、不满足项目的实际施工要求。质量保证措施不具体。</w:t>
            </w:r>
          </w:p>
          <w:p w14:paraId="6D8C21E1" w14:textId="77777777" w:rsidR="00862F58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未提供不得分。</w:t>
            </w:r>
          </w:p>
        </w:tc>
      </w:tr>
      <w:tr w:rsidR="00862F58" w14:paraId="2D0A9BF0" w14:textId="77777777">
        <w:trPr>
          <w:trHeight w:val="237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</w:tcPr>
          <w:p w14:paraId="7F60429C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2AE8521C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确保安全生产的技术组织措施</w:t>
            </w:r>
          </w:p>
          <w:p w14:paraId="2DA2C454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</w:pPr>
            <w:r>
              <w:rPr>
                <w:rFonts w:hint="eastAsia"/>
              </w:rPr>
              <w:t>(0~15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 w14:paraId="5852A148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  <w:r>
              <w:rPr>
                <w:rFonts w:hint="eastAsia"/>
                <w:szCs w:val="21"/>
              </w:rPr>
              <w:t>(15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：针对项目应有专门的安全管理人员和制度，且人员配备合理，制度健全，各道工序安全技术措施针对性强，符合实际且满足有关安全技术标准要求。现场防火、应急救援、社会治安安全措施得力。</w:t>
            </w:r>
          </w:p>
          <w:p w14:paraId="75022E08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  <w:r>
              <w:rPr>
                <w:rFonts w:hint="eastAsia"/>
                <w:szCs w:val="21"/>
              </w:rPr>
              <w:t>(10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：针对项目应有专门的安全管理人员和制度，且人员配备基本合理，制度基本健全，各道工序安全技术措施针对性强，基本满足符合实际</w:t>
            </w:r>
            <w:r>
              <w:rPr>
                <w:rFonts w:hint="eastAsia"/>
                <w:szCs w:val="21"/>
              </w:rPr>
              <w:lastRenderedPageBreak/>
              <w:t>且满足有关安全技术标准要求。现场防火、应急救援、社会治安安全措施得力。</w:t>
            </w:r>
          </w:p>
          <w:p w14:paraId="6FACD1CE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分）：针对项目应有专门的安全管理人员和制度，且人员配备不合理，制度不健全，各道工序安全技术措施针对性差，不符合实际且满足有关安全技术标准要求。现场防火、应急救援、社会治安安全措施不完善。</w:t>
            </w:r>
          </w:p>
          <w:p w14:paraId="53F9B110" w14:textId="77777777" w:rsidR="00862F58" w:rsidRDefault="00000000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未提供不得分。</w:t>
            </w:r>
          </w:p>
        </w:tc>
      </w:tr>
      <w:tr w:rsidR="00862F58" w14:paraId="3038CC29" w14:textId="77777777">
        <w:trPr>
          <w:trHeight w:val="237"/>
          <w:jc w:val="center"/>
        </w:trPr>
        <w:tc>
          <w:tcPr>
            <w:tcW w:w="696" w:type="pct"/>
            <w:vMerge/>
            <w:tcMar>
              <w:left w:w="57" w:type="dxa"/>
              <w:right w:w="57" w:type="dxa"/>
            </w:tcMar>
          </w:tcPr>
          <w:p w14:paraId="0B0D19F6" w14:textId="77777777" w:rsidR="00862F58" w:rsidRDefault="00862F5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0" w:type="pct"/>
            <w:tcMar>
              <w:left w:w="57" w:type="dxa"/>
              <w:right w:w="57" w:type="dxa"/>
            </w:tcMar>
            <w:vAlign w:val="center"/>
          </w:tcPr>
          <w:p w14:paraId="10A9A8B2" w14:textId="77777777" w:rsidR="00862F58" w:rsidRDefault="00000000">
            <w:pPr>
              <w:tabs>
                <w:tab w:val="left" w:pos="1841"/>
              </w:tabs>
              <w:spacing w:line="360" w:lineRule="auto"/>
              <w:ind w:leftChars="-51" w:left="-107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确保工期的技术组织措施</w:t>
            </w:r>
            <w:r>
              <w:rPr>
                <w:rFonts w:hint="eastAsia"/>
              </w:rPr>
              <w:t>(0~15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434" w:type="pct"/>
            <w:tcMar>
              <w:left w:w="57" w:type="dxa"/>
              <w:right w:w="57" w:type="dxa"/>
            </w:tcMar>
          </w:tcPr>
          <w:p w14:paraId="57B95C3A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  <w:r>
              <w:rPr>
                <w:rFonts w:hint="eastAsia"/>
                <w:szCs w:val="21"/>
              </w:rPr>
              <w:t>(15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在施工工艺、施工方法、材料选用、劳动力安排、技术等方面有保证工期的具体措施且措施得当。有控制工期的施工进度计划。应有施工总进度表或施工网络图，各项计划图表编制完善，安排科学合理，符合本项目施工实际要求且能提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天（含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天）以内完成项目。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D13F34F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  <w:r>
              <w:rPr>
                <w:rFonts w:hint="eastAsia"/>
                <w:szCs w:val="21"/>
              </w:rPr>
              <w:t>(10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在施工工艺、施工方法、材料选用、劳动力安排、技术等方面有基本保证工期的具体措施且措施得当。有控制工期的施工进度计划。应有施工总进度表或施工网络图，各项计划图表编制基本完善，安排科学合理，符合本项目施工实际要求且能提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天（含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天）以内完成项目。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16A2087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：在施工工艺、施工方法、材料选用、劳动力安排、技术等方面没有保证工期的具体措施。没有控制工期的施工进度计划。没有施工总进度表或施工网络图，各项计划图表编制不完善，安排不合理，不符合本项目施工实际要求但能按时完成项目。</w:t>
            </w:r>
          </w:p>
          <w:p w14:paraId="5F6E9436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Arial" w:hAnsi="Arial" w:cs="Arial"/>
                <w:szCs w:val="21"/>
                <w:lang w:bidi="ar"/>
              </w:rPr>
              <w:t>未提供不得分</w:t>
            </w:r>
            <w:r>
              <w:rPr>
                <w:rFonts w:ascii="Arial" w:hAnsi="Arial" w:cs="Arial" w:hint="eastAsia"/>
                <w:szCs w:val="21"/>
                <w:lang w:bidi="ar"/>
              </w:rPr>
              <w:t>。</w:t>
            </w:r>
          </w:p>
        </w:tc>
      </w:tr>
      <w:tr w:rsidR="00862F58" w14:paraId="6FE36598" w14:textId="77777777">
        <w:trPr>
          <w:trHeight w:val="750"/>
          <w:jc w:val="center"/>
        </w:trPr>
        <w:tc>
          <w:tcPr>
            <w:tcW w:w="5000" w:type="pct"/>
            <w:gridSpan w:val="3"/>
            <w:tcMar>
              <w:left w:w="57" w:type="dxa"/>
              <w:right w:w="57" w:type="dxa"/>
            </w:tcMar>
          </w:tcPr>
          <w:p w14:paraId="0DFD1F75" w14:textId="77777777" w:rsidR="00862F58" w:rsidRDefault="00000000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1.</w:t>
            </w:r>
            <w:r>
              <w:rPr>
                <w:rFonts w:hAnsi="宋体"/>
                <w:szCs w:val="21"/>
              </w:rPr>
              <w:t>评标委员会将根据综合评分从高到低对投标人进行排序。综合评分高的投标人优先推荐为中标候选人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42AC87D2" w14:textId="77777777" w:rsidR="00862F58" w:rsidRDefault="0000000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2.</w:t>
            </w:r>
            <w:r>
              <w:rPr>
                <w:rFonts w:hAnsi="宋体"/>
                <w:szCs w:val="21"/>
              </w:rPr>
              <w:t>若综合评分相同，则以</w:t>
            </w:r>
            <w:r>
              <w:rPr>
                <w:rFonts w:hAnsi="宋体" w:hint="eastAsia"/>
                <w:szCs w:val="21"/>
              </w:rPr>
              <w:t>投标报价下浮系数最高的</w:t>
            </w:r>
            <w:r>
              <w:rPr>
                <w:rFonts w:hAnsi="宋体"/>
                <w:szCs w:val="21"/>
              </w:rPr>
              <w:t>投标人优先推荐为中标候选人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</w:tbl>
    <w:p w14:paraId="01BD5E0D" w14:textId="77777777" w:rsidR="00862F58" w:rsidRDefault="00862F58"/>
    <w:sectPr w:rsidR="00862F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5185" w14:textId="77777777" w:rsidR="00F414A1" w:rsidRDefault="00F414A1">
      <w:r>
        <w:separator/>
      </w:r>
    </w:p>
  </w:endnote>
  <w:endnote w:type="continuationSeparator" w:id="0">
    <w:p w14:paraId="3D280922" w14:textId="77777777" w:rsidR="00F414A1" w:rsidRDefault="00F4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FCFD" w14:textId="77777777" w:rsidR="00862F5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EC0B1" wp14:editId="73532B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CA2F6" w14:textId="77777777" w:rsidR="00862F5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EC0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BCA2F6" w14:textId="77777777" w:rsidR="00862F58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F115" w14:textId="77777777" w:rsidR="00F414A1" w:rsidRDefault="00F414A1">
      <w:r>
        <w:separator/>
      </w:r>
    </w:p>
  </w:footnote>
  <w:footnote w:type="continuationSeparator" w:id="0">
    <w:p w14:paraId="7CEFAD58" w14:textId="77777777" w:rsidR="00F414A1" w:rsidRDefault="00F4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B53A6F"/>
    <w:rsid w:val="00035298"/>
    <w:rsid w:val="00046D84"/>
    <w:rsid w:val="0006679F"/>
    <w:rsid w:val="00081D98"/>
    <w:rsid w:val="001E48F7"/>
    <w:rsid w:val="00261917"/>
    <w:rsid w:val="002B74FC"/>
    <w:rsid w:val="003757D3"/>
    <w:rsid w:val="003E48A4"/>
    <w:rsid w:val="003F35C7"/>
    <w:rsid w:val="00401CD4"/>
    <w:rsid w:val="00432DD3"/>
    <w:rsid w:val="005A26C6"/>
    <w:rsid w:val="005F7A5C"/>
    <w:rsid w:val="00621A98"/>
    <w:rsid w:val="00685E42"/>
    <w:rsid w:val="006C2559"/>
    <w:rsid w:val="0073784C"/>
    <w:rsid w:val="00746E02"/>
    <w:rsid w:val="00793F2C"/>
    <w:rsid w:val="00862F58"/>
    <w:rsid w:val="008A7B79"/>
    <w:rsid w:val="0094597A"/>
    <w:rsid w:val="00A30EEB"/>
    <w:rsid w:val="00A4175F"/>
    <w:rsid w:val="00B2377C"/>
    <w:rsid w:val="00BA70E1"/>
    <w:rsid w:val="00BD25AB"/>
    <w:rsid w:val="00C004BB"/>
    <w:rsid w:val="00C67A1C"/>
    <w:rsid w:val="00D126D0"/>
    <w:rsid w:val="00DB6855"/>
    <w:rsid w:val="00F17363"/>
    <w:rsid w:val="00F414A1"/>
    <w:rsid w:val="00F56730"/>
    <w:rsid w:val="00F74A99"/>
    <w:rsid w:val="00FA59B9"/>
    <w:rsid w:val="00FF2E33"/>
    <w:rsid w:val="04461020"/>
    <w:rsid w:val="04BF5769"/>
    <w:rsid w:val="06156D08"/>
    <w:rsid w:val="063D2894"/>
    <w:rsid w:val="078B39F1"/>
    <w:rsid w:val="08943DF7"/>
    <w:rsid w:val="08B708DE"/>
    <w:rsid w:val="11E9219A"/>
    <w:rsid w:val="13A568CE"/>
    <w:rsid w:val="1D64319F"/>
    <w:rsid w:val="1E0679D3"/>
    <w:rsid w:val="20100BA8"/>
    <w:rsid w:val="27165584"/>
    <w:rsid w:val="2B6F7612"/>
    <w:rsid w:val="2C080871"/>
    <w:rsid w:val="35BB460E"/>
    <w:rsid w:val="366827D2"/>
    <w:rsid w:val="45C10B4B"/>
    <w:rsid w:val="4C7B6F8F"/>
    <w:rsid w:val="4EB53A6F"/>
    <w:rsid w:val="511F60A6"/>
    <w:rsid w:val="51EB67E8"/>
    <w:rsid w:val="523F2773"/>
    <w:rsid w:val="53564AC4"/>
    <w:rsid w:val="577D28F7"/>
    <w:rsid w:val="60615B43"/>
    <w:rsid w:val="65A22B26"/>
    <w:rsid w:val="67884F13"/>
    <w:rsid w:val="68F95C11"/>
    <w:rsid w:val="6D2A23DC"/>
    <w:rsid w:val="705E1165"/>
    <w:rsid w:val="7473516F"/>
    <w:rsid w:val="74A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D7338"/>
  <w15:docId w15:val="{26F63C58-F142-450D-8B78-6919CF7D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adjustRightInd w:val="0"/>
      <w:spacing w:line="360" w:lineRule="atLeast"/>
      <w:jc w:val="left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a9"/>
    <w:qFormat/>
    <w:pPr>
      <w:adjustRightInd/>
      <w:spacing w:line="240" w:lineRule="auto"/>
    </w:pPr>
    <w:rPr>
      <w:b/>
      <w:bCs/>
      <w:sz w:val="21"/>
    </w:rPr>
  </w:style>
  <w:style w:type="character" w:styleId="aa">
    <w:name w:val="Strong"/>
    <w:basedOn w:val="a0"/>
    <w:qFormat/>
    <w:rPr>
      <w:b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4"/>
      <w:szCs w:val="24"/>
    </w:rPr>
  </w:style>
  <w:style w:type="character" w:customStyle="1" w:styleId="a9">
    <w:name w:val="批注主题 字符"/>
    <w:basedOn w:val="a4"/>
    <w:link w:val="a8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徐舞渺</dc:creator>
  <cp:lastModifiedBy>梁秋远</cp:lastModifiedBy>
  <cp:revision>4</cp:revision>
  <dcterms:created xsi:type="dcterms:W3CDTF">2025-06-04T07:28:00Z</dcterms:created>
  <dcterms:modified xsi:type="dcterms:W3CDTF">2025-08-05T15:25:00Z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EEFC03A1729A4B1C9F150F22DBD534E2_13</vt:lpwstr>
  </property>
  <property fmtid="{D5CDD505-2E9C-101B-9397-08002B2CF9AE}" pid="4" name="KSOTemplateDocerSaveRecord">
    <vt:lpwstr>eyJoZGlkIjoiMjFmY2FlZWU1OTdjOWZjYmJkYWI4ZGViOTAyY2IzOGQiLCJ1c2VySWQiOiI0NDIwMTQ1OTUifQ==</vt:lpwstr>
  </property>
</Properties>
</file>