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b/>
          <w:sz w:val="28"/>
          <w:szCs w:val="28"/>
        </w:rPr>
      </w:pPr>
      <w:bookmarkStart w:id="0" w:name="_GoBack"/>
      <w:bookmarkEnd w:id="0"/>
      <w:r>
        <w:rPr>
          <w:rFonts w:hint="eastAsia" w:ascii="宋体" w:hAnsi="宋体"/>
          <w:b/>
          <w:sz w:val="28"/>
          <w:szCs w:val="28"/>
        </w:rPr>
        <w:t>附件3</w:t>
      </w:r>
    </w:p>
    <w:p>
      <w:pPr>
        <w:spacing w:line="400" w:lineRule="exact"/>
        <w:jc w:val="center"/>
        <w:rPr>
          <w:rFonts w:hint="eastAsia" w:ascii="宋体" w:hAnsi="宋体"/>
          <w:b/>
          <w:sz w:val="28"/>
          <w:szCs w:val="28"/>
        </w:rPr>
      </w:pPr>
      <w:r>
        <w:rPr>
          <w:rFonts w:hint="eastAsia" w:ascii="宋体" w:hAnsi="宋体"/>
          <w:b/>
          <w:sz w:val="28"/>
          <w:szCs w:val="28"/>
        </w:rPr>
        <w:t>采购需求</w:t>
      </w:r>
    </w:p>
    <w:tbl>
      <w:tblPr>
        <w:tblStyle w:val="11"/>
        <w:tblW w:w="93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3"/>
        <w:gridCol w:w="1154"/>
        <w:gridCol w:w="46"/>
        <w:gridCol w:w="481"/>
        <w:gridCol w:w="570"/>
        <w:gridCol w:w="6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4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Cs w:val="21"/>
              </w:rPr>
            </w:pPr>
            <w:r>
              <w:rPr>
                <w:rFonts w:hint="eastAsia" w:ascii="宋体" w:hAnsi="宋体"/>
                <w:b/>
                <w:szCs w:val="21"/>
              </w:rPr>
              <w:t>序号</w:t>
            </w: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Cs w:val="21"/>
              </w:rPr>
            </w:pPr>
            <w:r>
              <w:rPr>
                <w:rFonts w:hint="eastAsia" w:ascii="宋体" w:hAnsi="宋体"/>
                <w:b/>
                <w:szCs w:val="21"/>
              </w:rPr>
              <w:t>采购物品名称</w:t>
            </w:r>
          </w:p>
        </w:tc>
        <w:tc>
          <w:tcPr>
            <w:tcW w:w="5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Cs w:val="21"/>
              </w:rPr>
            </w:pPr>
            <w:r>
              <w:rPr>
                <w:rFonts w:hint="eastAsia" w:ascii="宋体" w:hAnsi="宋体"/>
                <w:b/>
                <w:szCs w:val="21"/>
              </w:rPr>
              <w:t>数量</w:t>
            </w: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Cs w:val="21"/>
              </w:rPr>
            </w:pPr>
            <w:r>
              <w:rPr>
                <w:rFonts w:hint="eastAsia" w:ascii="宋体" w:hAnsi="宋体"/>
                <w:b/>
                <w:szCs w:val="21"/>
              </w:rPr>
              <w:t>单位</w:t>
            </w:r>
          </w:p>
        </w:tc>
        <w:tc>
          <w:tcPr>
            <w:tcW w:w="6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szCs w:val="21"/>
              </w:rPr>
              <w:t>1</w:t>
            </w: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kern w:val="0"/>
                <w:szCs w:val="21"/>
              </w:rPr>
            </w:pPr>
            <w:r>
              <w:rPr>
                <w:rFonts w:hint="eastAsia"/>
                <w:szCs w:val="21"/>
              </w:rPr>
              <w:t>B-19、B-20栋学生宿舍工程等11个基建项目（16个单体）竣工财务决算审计服务</w:t>
            </w:r>
          </w:p>
        </w:tc>
        <w:tc>
          <w:tcPr>
            <w:tcW w:w="5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rPr>
            </w:pPr>
            <w:r>
              <w:rPr>
                <w:rFonts w:hint="eastAsia"/>
              </w:rPr>
              <w:t>1</w:t>
            </w: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rPr>
            </w:pPr>
            <w:r>
              <w:rPr>
                <w:rFonts w:hint="eastAsia" w:ascii="宋体" w:hAnsi="宋体" w:cs="宋体"/>
                <w:kern w:val="0"/>
                <w:szCs w:val="21"/>
              </w:rPr>
              <w:t>项</w:t>
            </w:r>
          </w:p>
        </w:tc>
        <w:tc>
          <w:tcPr>
            <w:tcW w:w="64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textAlignment w:val="center"/>
              <w:rPr>
                <w:rFonts w:hint="eastAsia" w:ascii="宋体" w:hAnsi="宋体" w:cs="宋体"/>
                <w:b/>
                <w:bCs/>
                <w:color w:val="000000"/>
                <w:szCs w:val="21"/>
              </w:rPr>
            </w:pPr>
            <w:r>
              <w:rPr>
                <w:rFonts w:hint="eastAsia" w:ascii="宋体" w:hAnsi="宋体" w:cs="宋体"/>
                <w:b/>
                <w:bCs/>
                <w:color w:val="000000"/>
                <w:szCs w:val="21"/>
              </w:rPr>
              <w:t>一、采购项目概况</w:t>
            </w:r>
          </w:p>
          <w:p>
            <w:pPr>
              <w:widowControl/>
              <w:adjustRightInd w:val="0"/>
              <w:snapToGrid w:val="0"/>
              <w:spacing w:line="400" w:lineRule="exact"/>
              <w:ind w:firstLine="420" w:firstLineChars="200"/>
              <w:jc w:val="left"/>
              <w:textAlignment w:val="center"/>
              <w:rPr>
                <w:rFonts w:hint="eastAsia" w:ascii="宋体" w:hAnsi="宋体" w:eastAsia="宋体" w:cs="宋体"/>
                <w:color w:val="000000"/>
                <w:szCs w:val="21"/>
              </w:rPr>
            </w:pPr>
            <w:r>
              <w:rPr>
                <w:rFonts w:hint="eastAsia" w:ascii="宋体" w:hAnsi="宋体" w:cs="宋体"/>
                <w:color w:val="000000"/>
                <w:szCs w:val="21"/>
              </w:rPr>
              <w:t>1.审计项目名称：B-19、B-20栋学生宿舍工程</w:t>
            </w:r>
            <w:r>
              <w:rPr>
                <w:rFonts w:hint="eastAsia" w:ascii="宋体" w:hAnsi="宋体" w:eastAsia="宋体" w:cs="宋体"/>
                <w:color w:val="000000"/>
                <w:szCs w:val="21"/>
              </w:rPr>
              <w:t>，壮瑶医药教学实验中心，后勤综合楼，游泳馆，教学楼、学生宿舍、学生食堂，体育馆，院系实验楼活动中心，图书馆，阿平湖景观园林绿化，430亩道路、排污、管网工程，仙葫校区新增第二路电源。</w:t>
            </w:r>
          </w:p>
          <w:p>
            <w:pPr>
              <w:widowControl/>
              <w:adjustRightInd w:val="0"/>
              <w:snapToGrid w:val="0"/>
              <w:spacing w:line="400" w:lineRule="exact"/>
              <w:ind w:firstLine="420" w:firstLineChars="200"/>
              <w:jc w:val="left"/>
              <w:textAlignment w:val="center"/>
              <w:rPr>
                <w:rFonts w:hint="eastAsia" w:ascii="宋体" w:hAnsi="宋体" w:cs="宋体"/>
                <w:color w:val="000000"/>
                <w:szCs w:val="21"/>
              </w:rPr>
            </w:pPr>
            <w:r>
              <w:rPr>
                <w:rFonts w:hint="eastAsia" w:ascii="宋体" w:hAnsi="宋体" w:cs="宋体"/>
                <w:szCs w:val="21"/>
              </w:rPr>
              <w:t>2.审计服务内容：对广西中医药大学B-19、B-20栋学生宿舍工程等11个基建项目（16个单体）开展审计，编制工程财务决算相应报表，出具审计报告，配合采购人完成项目竣工财务决</w:t>
            </w:r>
            <w:r>
              <w:rPr>
                <w:rFonts w:hint="eastAsia" w:ascii="宋体" w:hAnsi="宋体" w:cs="宋体"/>
                <w:color w:val="000000"/>
                <w:szCs w:val="21"/>
              </w:rPr>
              <w:t>算报审并取得主管部门批复确认。</w:t>
            </w:r>
          </w:p>
          <w:p>
            <w:pPr>
              <w:widowControl/>
              <w:adjustRightInd w:val="0"/>
              <w:snapToGrid w:val="0"/>
              <w:spacing w:line="400" w:lineRule="exact"/>
              <w:jc w:val="left"/>
              <w:textAlignment w:val="center"/>
              <w:rPr>
                <w:rFonts w:hint="eastAsia" w:ascii="宋体" w:hAnsi="宋体" w:cs="宋体"/>
                <w:b/>
                <w:bCs/>
                <w:color w:val="000000"/>
                <w:szCs w:val="21"/>
              </w:rPr>
            </w:pPr>
            <w:r>
              <w:rPr>
                <w:rFonts w:hint="eastAsia" w:ascii="宋体" w:hAnsi="宋体" w:cs="宋体"/>
                <w:b/>
                <w:bCs/>
                <w:color w:val="000000"/>
                <w:szCs w:val="21"/>
              </w:rPr>
              <w:t>二、委托审计项目概况</w:t>
            </w:r>
          </w:p>
          <w:tbl>
            <w:tblPr>
              <w:tblStyle w:val="11"/>
              <w:tblW w:w="7305" w:type="dxa"/>
              <w:tblInd w:w="0" w:type="dxa"/>
              <w:tblLayout w:type="fixed"/>
              <w:tblCellMar>
                <w:top w:w="0" w:type="dxa"/>
                <w:left w:w="108" w:type="dxa"/>
                <w:bottom w:w="0" w:type="dxa"/>
                <w:right w:w="108" w:type="dxa"/>
              </w:tblCellMar>
            </w:tblPr>
            <w:tblGrid>
              <w:gridCol w:w="837"/>
              <w:gridCol w:w="3001"/>
              <w:gridCol w:w="3467"/>
            </w:tblGrid>
            <w:tr>
              <w:trPr>
                <w:trHeight w:val="375"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16"/>
                      <w:szCs w:val="16"/>
                    </w:rPr>
                  </w:pPr>
                  <w:r>
                    <w:rPr>
                      <w:rFonts w:hint="eastAsia" w:ascii="宋体" w:hAnsi="宋体" w:eastAsia="宋体" w:cs="宋体"/>
                      <w:b/>
                      <w:bCs/>
                      <w:color w:val="000000"/>
                      <w:kern w:val="0"/>
                      <w:sz w:val="16"/>
                      <w:szCs w:val="16"/>
                      <w:lang w:bidi="ar"/>
                    </w:rPr>
                    <w:t>序号</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16"/>
                      <w:szCs w:val="16"/>
                    </w:rPr>
                  </w:pPr>
                  <w:r>
                    <w:rPr>
                      <w:rFonts w:hint="eastAsia" w:ascii="宋体" w:hAnsi="宋体" w:eastAsia="宋体" w:cs="宋体"/>
                      <w:b/>
                      <w:bCs/>
                      <w:color w:val="000000"/>
                      <w:kern w:val="0"/>
                      <w:sz w:val="16"/>
                      <w:szCs w:val="16"/>
                      <w:lang w:bidi="ar"/>
                    </w:rPr>
                    <w:t>工程项目</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6"/>
                      <w:szCs w:val="16"/>
                    </w:rPr>
                  </w:pPr>
                  <w:r>
                    <w:rPr>
                      <w:rFonts w:hint="eastAsia" w:ascii="宋体" w:hAnsi="宋体" w:eastAsia="宋体" w:cs="宋体"/>
                      <w:b/>
                      <w:bCs/>
                      <w:color w:val="000000"/>
                      <w:kern w:val="0"/>
                      <w:sz w:val="16"/>
                      <w:szCs w:val="16"/>
                      <w:lang w:bidi="ar"/>
                    </w:rPr>
                    <w:t>累计完成投资额（万元）</w:t>
                  </w:r>
                </w:p>
              </w:tc>
            </w:tr>
            <w:tr>
              <w:tblPrEx>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B-19、B-20栋学生宿舍工程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5,061.85 </w:t>
                  </w:r>
                </w:p>
              </w:tc>
            </w:tr>
            <w:tr>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壮瑶医药教学实验中心</w:t>
                  </w: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16,522.09 </w:t>
                  </w:r>
                </w:p>
              </w:tc>
            </w:tr>
            <w:tr>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后勤综合楼</w:t>
                  </w: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1,275.71 </w:t>
                  </w:r>
                </w:p>
              </w:tc>
            </w:tr>
            <w:tr>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游泳馆</w:t>
                  </w: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2,390.52 </w:t>
                  </w:r>
                </w:p>
              </w:tc>
            </w:tr>
            <w:tr>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教学楼、学生宿舍、学生食堂</w:t>
                  </w: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15,873.30 </w:t>
                  </w:r>
                </w:p>
              </w:tc>
            </w:tr>
            <w:tr>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体育馆</w:t>
                  </w: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3,389.19 </w:t>
                  </w:r>
                </w:p>
              </w:tc>
            </w:tr>
            <w:tr>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院系实验楼活动中心</w:t>
                  </w: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12,630.66 </w:t>
                  </w:r>
                </w:p>
              </w:tc>
            </w:tr>
            <w:tr>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图书馆</w:t>
                  </w: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9,167.34 </w:t>
                  </w:r>
                </w:p>
              </w:tc>
            </w:tr>
            <w:tr>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阿平湖景观园林绿化</w:t>
                  </w: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4,843.37 </w:t>
                  </w:r>
                </w:p>
              </w:tc>
            </w:tr>
            <w:tr>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430亩道路、排污、管网工程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4,647.09 </w:t>
                  </w:r>
                </w:p>
              </w:tc>
            </w:tr>
            <w:tr>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11</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仙葫校区新增第二路电源</w:t>
                  </w: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529.28 </w:t>
                  </w:r>
                </w:p>
              </w:tc>
            </w:tr>
          </w:tbl>
          <w:p>
            <w:pPr>
              <w:widowControl/>
              <w:adjustRightInd w:val="0"/>
              <w:snapToGrid w:val="0"/>
              <w:spacing w:line="400" w:lineRule="exact"/>
              <w:jc w:val="left"/>
              <w:textAlignment w:val="center"/>
              <w:rPr>
                <w:rFonts w:hint="eastAsia" w:ascii="宋体" w:hAnsi="宋体" w:cs="宋体"/>
                <w:b/>
                <w:bCs/>
                <w:color w:val="000000"/>
                <w:szCs w:val="21"/>
              </w:rPr>
            </w:pPr>
            <w:r>
              <w:rPr>
                <w:rFonts w:hint="eastAsia" w:ascii="宋体" w:hAnsi="宋体" w:cs="宋体"/>
                <w:b/>
                <w:bCs/>
                <w:color w:val="000000"/>
                <w:szCs w:val="21"/>
              </w:rPr>
              <w:t>三、服务费控制价</w:t>
            </w:r>
          </w:p>
          <w:p>
            <w:pPr>
              <w:widowControl/>
              <w:adjustRightInd w:val="0"/>
              <w:snapToGrid w:val="0"/>
              <w:spacing w:line="400" w:lineRule="exact"/>
              <w:ind w:firstLine="420" w:firstLineChars="200"/>
              <w:jc w:val="left"/>
              <w:textAlignment w:val="center"/>
            </w:pPr>
            <w:r>
              <w:rPr>
                <w:rFonts w:hint="eastAsia" w:ascii="宋体" w:hAnsi="宋体" w:cs="宋体"/>
                <w:color w:val="000000"/>
                <w:szCs w:val="21"/>
              </w:rPr>
              <w:t>竣工财务决算审计服务费参照《广西壮族自治区物价局关于会计师事务所服务收费有关问题的通知》（桂价费〔2012〕74号）的收费标准，并做相应下浮，服务费按照单个子项目进行报价，采购控制总价上限为23万元</w:t>
            </w:r>
            <w:r>
              <w:rPr>
                <w:rFonts w:hint="eastAsia" w:ascii="宋体" w:hAnsi="宋体" w:cs="宋体"/>
                <w:szCs w:val="21"/>
              </w:rPr>
              <w:t>，超上限报价视为无效报价。</w:t>
            </w:r>
          </w:p>
          <w:p>
            <w:pPr>
              <w:widowControl/>
              <w:adjustRightInd w:val="0"/>
              <w:snapToGrid w:val="0"/>
              <w:spacing w:line="400" w:lineRule="exact"/>
              <w:jc w:val="left"/>
              <w:textAlignment w:val="center"/>
              <w:rPr>
                <w:rFonts w:hint="eastAsia" w:ascii="宋体" w:hAnsi="宋体" w:cs="宋体"/>
                <w:b/>
                <w:bCs/>
                <w:color w:val="000000"/>
                <w:szCs w:val="21"/>
              </w:rPr>
            </w:pPr>
            <w:r>
              <w:rPr>
                <w:rFonts w:hint="eastAsia" w:ascii="宋体" w:hAnsi="宋体" w:cs="宋体"/>
                <w:b/>
                <w:bCs/>
                <w:color w:val="000000"/>
                <w:szCs w:val="21"/>
              </w:rPr>
              <w:t>四、服务内容及要求</w:t>
            </w:r>
          </w:p>
          <w:p>
            <w:pPr>
              <w:widowControl/>
              <w:adjustRightInd w:val="0"/>
              <w:snapToGrid w:val="0"/>
              <w:spacing w:line="400" w:lineRule="exact"/>
              <w:ind w:firstLine="420" w:firstLineChars="200"/>
              <w:jc w:val="left"/>
              <w:textAlignment w:val="center"/>
              <w:rPr>
                <w:rFonts w:hint="eastAsia" w:ascii="宋体" w:hAnsi="宋体" w:cs="宋体"/>
                <w:color w:val="000000"/>
                <w:szCs w:val="21"/>
              </w:rPr>
            </w:pPr>
            <w:r>
              <w:rPr>
                <w:rFonts w:hint="eastAsia" w:ascii="宋体" w:hAnsi="宋体" w:cs="宋体"/>
                <w:color w:val="000000"/>
                <w:szCs w:val="21"/>
              </w:rPr>
              <w:t>1.根据《中华注册会计师独立审计准则》《会计师事务所从事基本建设项目工程预算、决算、结算审核暂行办法》《财政投资项目评审操作规程》《基本建设项目竣工财务决算管理暂行办法》《广西壮族自治区本级基本建设项目竣工财务决算审批批复操作规程》等相关规定，对采购人委托的建设项目的工程、财务资料及项目建设全过程管理情况进行审计。通过执行审计工作，对项目竣工财务编制的真实性、准确性、合法性、完整性及工程项目建设程序、组织管理、会计核算情况、项目概算执行情况等进行评价，出具财务决算审计报告，编制财务决算报表，形成项目审计档案。配合采购人将决算成果报相关主管部门审核，并取得决算批复文件。</w:t>
            </w:r>
          </w:p>
          <w:p>
            <w:pPr>
              <w:widowControl/>
              <w:adjustRightInd w:val="0"/>
              <w:snapToGrid w:val="0"/>
              <w:spacing w:line="400" w:lineRule="exact"/>
              <w:ind w:firstLine="420" w:firstLineChars="200"/>
              <w:jc w:val="left"/>
              <w:textAlignment w:val="center"/>
              <w:rPr>
                <w:rFonts w:hint="eastAsia" w:ascii="宋体" w:hAnsi="宋体" w:cs="宋体"/>
                <w:color w:val="000000"/>
                <w:szCs w:val="21"/>
              </w:rPr>
            </w:pPr>
            <w:r>
              <w:rPr>
                <w:rFonts w:hint="eastAsia" w:ascii="宋体" w:hAnsi="宋体" w:cs="宋体"/>
                <w:color w:val="000000"/>
                <w:szCs w:val="21"/>
              </w:rPr>
              <w:t>2.人员配备：应成立审计组，审计组应配备审计人员，审计组人员数≥5人，其中项目负责人、主审人必须具备注册会计师资格，并具有中级会计师及以上职称；其他成员需要具有初级会计师及以上职称。</w:t>
            </w:r>
            <w:r>
              <w:rPr>
                <w:rFonts w:hint="eastAsia" w:ascii="宋体" w:hAnsi="宋体" w:cs="宋体"/>
                <w:b/>
                <w:bCs/>
                <w:color w:val="000000"/>
                <w:szCs w:val="21"/>
              </w:rPr>
              <w:t>投标时提供上述人员名单及相关支撑证明材料并加盖单位公章，且需提供服务人员自2025年1月以来连续6个月缴纳社保费的缴费凭证复印件并加盖单位公章，否则投标无效</w:t>
            </w:r>
            <w:r>
              <w:rPr>
                <w:rFonts w:hint="eastAsia" w:ascii="宋体" w:hAnsi="宋体" w:cs="宋体"/>
                <w:color w:val="000000"/>
                <w:szCs w:val="21"/>
              </w:rPr>
              <w:t>。</w:t>
            </w:r>
          </w:p>
          <w:p>
            <w:pPr>
              <w:pStyle w:val="7"/>
              <w:adjustRightInd w:val="0"/>
              <w:spacing w:line="4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3.</w:t>
            </w:r>
            <w:r>
              <w:rPr>
                <w:rFonts w:hint="eastAsia" w:ascii="宋体" w:hAnsi="宋体" w:eastAsia="宋体" w:cs="宋体"/>
                <w:color w:val="000000"/>
                <w:sz w:val="21"/>
                <w:szCs w:val="21"/>
              </w:rPr>
              <w:t>项目配备人员应具有良好的职业道德，具有完成本项目的专业技术水平和较强沟通协调能力，工作认真负责，客观公正。投标方案确定的审计组人员应与实际参与审计人员一致，不得随意变更参加审计工作的人员，</w:t>
            </w:r>
            <w:r>
              <w:rPr>
                <w:rFonts w:hint="eastAsia" w:ascii="宋体" w:hAnsi="宋体" w:eastAsia="宋体" w:cs="宋体"/>
                <w:sz w:val="21"/>
                <w:szCs w:val="21"/>
              </w:rPr>
              <w:t>确保服务人员相对稳定，以保证审计工作的正常进行。成交供应商因人员离职等情形不得不调整审计人员，更换项目负责人或主审人的应提前7日历日向采购人书面申请，经采购人同意后方可更换；更换其他审计人员应提前3日历日向采购人书面申请并经采购人同意后方可更换。调整补入人员的专业能力（职称、学历、执业资格）应当等于或高于被更换的相应人员。</w:t>
            </w:r>
          </w:p>
          <w:p>
            <w:pPr>
              <w:widowControl/>
              <w:adjustRightInd w:val="0"/>
              <w:snapToGrid w:val="0"/>
              <w:spacing w:line="400" w:lineRule="exact"/>
              <w:ind w:firstLine="420" w:firstLineChars="200"/>
              <w:jc w:val="left"/>
              <w:textAlignment w:val="center"/>
              <w:rPr>
                <w:rFonts w:hint="eastAsia" w:ascii="宋体" w:hAnsi="宋体" w:cs="宋体"/>
                <w:color w:val="000000"/>
                <w:szCs w:val="21"/>
              </w:rPr>
            </w:pPr>
            <w:r>
              <w:rPr>
                <w:rFonts w:hint="eastAsia" w:ascii="宋体" w:hAnsi="宋体" w:cs="宋体"/>
                <w:color w:val="000000"/>
                <w:szCs w:val="21"/>
              </w:rPr>
              <w:t>4.审计质量要求：真实反映审计结果，客观评价审计事项，做到证据充分、依据合理、定性准确、建议可行。决算审计成果资料编制深度和广度应满足财政部门和项目主管部门对项目竣工财务决算的审核及批复的要求。</w:t>
            </w:r>
          </w:p>
          <w:p>
            <w:pPr>
              <w:autoSpaceDE w:val="0"/>
              <w:autoSpaceDN w:val="0"/>
              <w:adjustRightInd w:val="0"/>
              <w:spacing w:line="240" w:lineRule="atLeast"/>
              <w:ind w:firstLine="420" w:firstLineChars="200"/>
              <w:jc w:val="left"/>
            </w:pPr>
            <w:r>
              <w:rPr>
                <w:rFonts w:hint="eastAsia" w:ascii="宋体" w:hAnsi="宋体" w:cs="宋体"/>
                <w:color w:val="000000"/>
                <w:szCs w:val="21"/>
              </w:rPr>
              <w:t>5.其他要求: 遵守《注册会计师职业道德行为准则》，按本项目的要求作出服务方案和实质性承诺。成交供应商不得将审计项目转交、转包第三方完成。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340"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hint="eastAsia"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jc w:val="center"/>
        </w:trPr>
        <w:tc>
          <w:tcPr>
            <w:tcW w:w="181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kern w:val="0"/>
                <w:szCs w:val="21"/>
              </w:rPr>
            </w:pPr>
            <w:r>
              <w:rPr>
                <w:rFonts w:hint="eastAsia" w:ascii="宋体" w:hAnsi="宋体"/>
                <w:szCs w:val="21"/>
              </w:rPr>
              <w:t>服务期限及地点</w:t>
            </w:r>
          </w:p>
        </w:tc>
        <w:tc>
          <w:tcPr>
            <w:tcW w:w="7527"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420" w:firstLineChars="200"/>
              <w:jc w:val="left"/>
              <w:textAlignment w:val="center"/>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eastAsia="宋体" w:cs="宋体"/>
                <w:kern w:val="0"/>
                <w:szCs w:val="21"/>
              </w:rPr>
              <w:t>自采购人提交某</w:t>
            </w:r>
            <w:r>
              <w:rPr>
                <w:rFonts w:hint="eastAsia" w:ascii="宋体" w:hAnsi="宋体" w:eastAsia="宋体" w:cs="宋体"/>
                <w:szCs w:val="21"/>
              </w:rPr>
              <w:t>子</w:t>
            </w:r>
            <w:r>
              <w:rPr>
                <w:rFonts w:hint="eastAsia" w:ascii="宋体" w:hAnsi="宋体" w:eastAsia="宋体" w:cs="宋体"/>
                <w:kern w:val="0"/>
                <w:szCs w:val="21"/>
              </w:rPr>
              <w:t>项目完整资料起</w:t>
            </w:r>
            <w:r>
              <w:rPr>
                <w:rFonts w:hint="eastAsia" w:ascii="宋体" w:hAnsi="宋体" w:eastAsia="宋体" w:cs="宋体"/>
                <w:szCs w:val="21"/>
              </w:rPr>
              <w:t>两个月内完成该子项目审计工作，提交审计报告初稿;审核报告初稿经确认后10日历日内出具审计报告征求意见稿;完成意见征求后10日历日内出具正式审计报告。主管部门审核审计成果文件并提出相应修改意见的，成交供应商应在收到意见的5日历日内完成修改并重新提交审计成果文件。</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2.服务地点：广西中医药大学明秀、仙葫校区。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527"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1.成交供应商完成采购人委托的单个子项目决算审计工作并出具正式决算审计报告后，成交供应商向采购人提交书面请款资料及正规增值税发票，采购人自收到齐全的材料之日起二十个工作日内通过银行转账方式向成交供应商支付该子项目服务费的50%。</w:t>
            </w:r>
          </w:p>
          <w:p>
            <w:pPr>
              <w:spacing w:line="400" w:lineRule="exact"/>
              <w:ind w:firstLine="420"/>
              <w:rPr>
                <w:rFonts w:hint="eastAsia" w:ascii="宋体" w:hAnsi="宋体" w:eastAsia="宋体" w:cs="宋体"/>
                <w:kern w:val="1"/>
                <w:szCs w:val="21"/>
              </w:rPr>
            </w:pPr>
            <w:r>
              <w:rPr>
                <w:rFonts w:hint="eastAsia" w:ascii="宋体" w:hAnsi="宋体" w:eastAsia="宋体" w:cs="宋体"/>
                <w:szCs w:val="21"/>
              </w:rPr>
              <w:t>2.成交供应商完成的单个子项目决算审计报告上报相应主管部门审核批复确认后，成交供应商向采购人提交书面请款资料及增值税发票，采购人自收到齐全的材料之日起二十个工作日内通过银行转账方式向成交供应商支付该子项目服务费剩余金额的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34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bCs/>
                <w:kern w:val="0"/>
                <w:szCs w:val="21"/>
              </w:rPr>
            </w:pPr>
            <w:r>
              <w:rPr>
                <w:rFonts w:hint="eastAsia" w:ascii="宋体" w:hAnsi="宋体" w:cs="TimesNewRomanPSMT"/>
                <w:bCs/>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81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TimesNewRomanPSMT"/>
                <w:bCs/>
                <w:kern w:val="0"/>
                <w:szCs w:val="21"/>
              </w:rPr>
            </w:pPr>
          </w:p>
        </w:tc>
        <w:tc>
          <w:tcPr>
            <w:tcW w:w="752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bCs/>
              </w:rPr>
            </w:pPr>
            <w:r>
              <w:rPr>
                <w:rFonts w:hint="eastAsia" w:ascii="宋体" w:hAnsi="宋体"/>
                <w:bCs/>
              </w:rPr>
              <w:t>▲1.本次报价分别按照11个子项目单独报价，在</w:t>
            </w:r>
            <w:r>
              <w:rPr>
                <w:rFonts w:hint="eastAsia" w:ascii="宋体" w:hAnsi="宋体" w:cs="宋体"/>
                <w:color w:val="000000"/>
                <w:szCs w:val="21"/>
              </w:rPr>
              <w:t>采购控制总价上限范围内</w:t>
            </w:r>
            <w:r>
              <w:rPr>
                <w:rFonts w:hint="eastAsia" w:ascii="宋体" w:hAnsi="宋体"/>
                <w:bCs/>
              </w:rPr>
              <w:t>进行报价，报价必须含以下部分：①采用全包方式即合同金额，包括一切施工设备、人工费、各种保险费、税费等一切费用。</w:t>
            </w:r>
          </w:p>
          <w:p>
            <w:pPr>
              <w:autoSpaceDE w:val="0"/>
              <w:autoSpaceDN w:val="0"/>
              <w:adjustRightInd w:val="0"/>
              <w:spacing w:line="360" w:lineRule="auto"/>
              <w:jc w:val="left"/>
              <w:rPr>
                <w:bCs/>
              </w:rPr>
            </w:pPr>
            <w:r>
              <w:rPr>
                <w:rFonts w:hint="eastAsia" w:ascii="宋体" w:hAnsi="宋体"/>
                <w:bCs/>
              </w:rPr>
              <w:t>▲2、供应商应充分考虑服务成本及参数要求再进行报价，如供应商低价恶意竞价且成交后无法按要求提供服务或者所供服务无法满足参数要求的，采购人将按虚假竞标处理，并保留因耽误采购人使用时间造成的损失进行赔偿的权利，通过报备政采云平台及财政厅监管部门，并按规定对供应商予以处罚和进行网上通报处理，追究供应商的法律责任，由此引发的一切后果由供应商承担。</w:t>
            </w:r>
          </w:p>
        </w:tc>
      </w:tr>
    </w:tbl>
    <w:p>
      <w:pPr>
        <w:pStyle w:val="9"/>
        <w:widowControl/>
        <w:spacing w:after="452" w:line="555" w:lineRule="atLeast"/>
        <w:rPr>
          <w:rStyle w:val="14"/>
          <w:rFonts w:hint="eastAsia" w:ascii="黑体" w:hAnsi="宋体" w:eastAsia="黑体" w:cs="黑体"/>
          <w:color w:val="333333"/>
          <w:sz w:val="28"/>
          <w:szCs w:val="28"/>
          <w:shd w:val="clear" w:color="auto" w:fill="FFFFFF"/>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GYxMjc3NjhjNjUwMGQxMTMxNWFkNzQ2NDg1YTgifQ=="/>
  </w:docVars>
  <w:rsids>
    <w:rsidRoot w:val="52D653D6"/>
    <w:rsid w:val="00002994"/>
    <w:rsid w:val="000102D3"/>
    <w:rsid w:val="0001736C"/>
    <w:rsid w:val="00021BD6"/>
    <w:rsid w:val="000408C1"/>
    <w:rsid w:val="00047C0E"/>
    <w:rsid w:val="00056B5E"/>
    <w:rsid w:val="000808B9"/>
    <w:rsid w:val="00082409"/>
    <w:rsid w:val="00082EF6"/>
    <w:rsid w:val="0008314C"/>
    <w:rsid w:val="00087E6F"/>
    <w:rsid w:val="00092BBF"/>
    <w:rsid w:val="000953D5"/>
    <w:rsid w:val="000A3D19"/>
    <w:rsid w:val="000A5D39"/>
    <w:rsid w:val="000C4E31"/>
    <w:rsid w:val="000E64E3"/>
    <w:rsid w:val="0010348A"/>
    <w:rsid w:val="00110A81"/>
    <w:rsid w:val="00127AFC"/>
    <w:rsid w:val="00133620"/>
    <w:rsid w:val="00140388"/>
    <w:rsid w:val="00150216"/>
    <w:rsid w:val="00156346"/>
    <w:rsid w:val="00170462"/>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12577"/>
    <w:rsid w:val="00351A5E"/>
    <w:rsid w:val="003753CB"/>
    <w:rsid w:val="003D1DCB"/>
    <w:rsid w:val="003D7CA4"/>
    <w:rsid w:val="003E25EA"/>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482E"/>
    <w:rsid w:val="00547DDF"/>
    <w:rsid w:val="0055287B"/>
    <w:rsid w:val="005650B2"/>
    <w:rsid w:val="005B2178"/>
    <w:rsid w:val="005C6D2A"/>
    <w:rsid w:val="005E1921"/>
    <w:rsid w:val="005E4818"/>
    <w:rsid w:val="005E4C14"/>
    <w:rsid w:val="005E4ECB"/>
    <w:rsid w:val="00603052"/>
    <w:rsid w:val="006128DF"/>
    <w:rsid w:val="00624C0D"/>
    <w:rsid w:val="00625B6B"/>
    <w:rsid w:val="00651D11"/>
    <w:rsid w:val="00660F53"/>
    <w:rsid w:val="006660B4"/>
    <w:rsid w:val="00681F69"/>
    <w:rsid w:val="006A4493"/>
    <w:rsid w:val="006C62A8"/>
    <w:rsid w:val="006D028E"/>
    <w:rsid w:val="006D06C6"/>
    <w:rsid w:val="006D1F21"/>
    <w:rsid w:val="006D3EE4"/>
    <w:rsid w:val="006E0179"/>
    <w:rsid w:val="006E297E"/>
    <w:rsid w:val="006E3CF1"/>
    <w:rsid w:val="006E6C19"/>
    <w:rsid w:val="00710C8F"/>
    <w:rsid w:val="00713573"/>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60CC4"/>
    <w:rsid w:val="00973544"/>
    <w:rsid w:val="00976B0B"/>
    <w:rsid w:val="00980C1A"/>
    <w:rsid w:val="00991123"/>
    <w:rsid w:val="009A0E5A"/>
    <w:rsid w:val="009A4990"/>
    <w:rsid w:val="009E24CA"/>
    <w:rsid w:val="009E40CD"/>
    <w:rsid w:val="009E469C"/>
    <w:rsid w:val="009F3F9A"/>
    <w:rsid w:val="00A173CF"/>
    <w:rsid w:val="00A25973"/>
    <w:rsid w:val="00A46721"/>
    <w:rsid w:val="00A82D07"/>
    <w:rsid w:val="00A86CD0"/>
    <w:rsid w:val="00A91344"/>
    <w:rsid w:val="00AB6ADB"/>
    <w:rsid w:val="00AC4CAC"/>
    <w:rsid w:val="00AC6052"/>
    <w:rsid w:val="00AC7DAE"/>
    <w:rsid w:val="00AE5F79"/>
    <w:rsid w:val="00B07709"/>
    <w:rsid w:val="00B11EDA"/>
    <w:rsid w:val="00B12D00"/>
    <w:rsid w:val="00B17646"/>
    <w:rsid w:val="00B25E09"/>
    <w:rsid w:val="00B41BE4"/>
    <w:rsid w:val="00B55956"/>
    <w:rsid w:val="00B81F9C"/>
    <w:rsid w:val="00B86469"/>
    <w:rsid w:val="00B95E1D"/>
    <w:rsid w:val="00B96A3E"/>
    <w:rsid w:val="00BB058F"/>
    <w:rsid w:val="00BB208F"/>
    <w:rsid w:val="00BD4895"/>
    <w:rsid w:val="00BD6001"/>
    <w:rsid w:val="00BE601F"/>
    <w:rsid w:val="00BF406C"/>
    <w:rsid w:val="00BF531C"/>
    <w:rsid w:val="00C14009"/>
    <w:rsid w:val="00C30E63"/>
    <w:rsid w:val="00C54DB5"/>
    <w:rsid w:val="00C671A9"/>
    <w:rsid w:val="00C75936"/>
    <w:rsid w:val="00C81107"/>
    <w:rsid w:val="00C91106"/>
    <w:rsid w:val="00C92655"/>
    <w:rsid w:val="00C961C2"/>
    <w:rsid w:val="00CB26C2"/>
    <w:rsid w:val="00CE11B5"/>
    <w:rsid w:val="00CF4136"/>
    <w:rsid w:val="00CF77EF"/>
    <w:rsid w:val="00D13312"/>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05C4D"/>
    <w:rsid w:val="00E11FB9"/>
    <w:rsid w:val="00E12ED2"/>
    <w:rsid w:val="00E25AAB"/>
    <w:rsid w:val="00E44071"/>
    <w:rsid w:val="00E4439D"/>
    <w:rsid w:val="00E72E28"/>
    <w:rsid w:val="00E86588"/>
    <w:rsid w:val="00EB7ADE"/>
    <w:rsid w:val="00EC277A"/>
    <w:rsid w:val="00EE293F"/>
    <w:rsid w:val="00EE355B"/>
    <w:rsid w:val="00EE6160"/>
    <w:rsid w:val="00EF299F"/>
    <w:rsid w:val="00EF6487"/>
    <w:rsid w:val="00F04327"/>
    <w:rsid w:val="00F20CDC"/>
    <w:rsid w:val="00F25E3C"/>
    <w:rsid w:val="00F26972"/>
    <w:rsid w:val="00F330CB"/>
    <w:rsid w:val="00F348C2"/>
    <w:rsid w:val="00F5062C"/>
    <w:rsid w:val="00F56375"/>
    <w:rsid w:val="00F73016"/>
    <w:rsid w:val="00F92D4B"/>
    <w:rsid w:val="00F94F4A"/>
    <w:rsid w:val="00FB02B1"/>
    <w:rsid w:val="00FB3DFA"/>
    <w:rsid w:val="00FD620A"/>
    <w:rsid w:val="0163247B"/>
    <w:rsid w:val="09287D76"/>
    <w:rsid w:val="09E37FB3"/>
    <w:rsid w:val="0A0F5BB5"/>
    <w:rsid w:val="0C93343B"/>
    <w:rsid w:val="0E6F05D1"/>
    <w:rsid w:val="0F074FAA"/>
    <w:rsid w:val="0F4F61AB"/>
    <w:rsid w:val="10142F30"/>
    <w:rsid w:val="15333719"/>
    <w:rsid w:val="157A4E35"/>
    <w:rsid w:val="15A6480D"/>
    <w:rsid w:val="1608351E"/>
    <w:rsid w:val="1C071B9A"/>
    <w:rsid w:val="1DF613D3"/>
    <w:rsid w:val="1F7C6179"/>
    <w:rsid w:val="20A0716E"/>
    <w:rsid w:val="20CE0ED9"/>
    <w:rsid w:val="21E9568B"/>
    <w:rsid w:val="22A63F56"/>
    <w:rsid w:val="26A022EB"/>
    <w:rsid w:val="278E005D"/>
    <w:rsid w:val="288B42E2"/>
    <w:rsid w:val="2EBD6829"/>
    <w:rsid w:val="2FEC2936"/>
    <w:rsid w:val="30175C86"/>
    <w:rsid w:val="3038292B"/>
    <w:rsid w:val="306D7DC2"/>
    <w:rsid w:val="32F81A84"/>
    <w:rsid w:val="33F53549"/>
    <w:rsid w:val="37053B1A"/>
    <w:rsid w:val="38290730"/>
    <w:rsid w:val="3BDC4EF4"/>
    <w:rsid w:val="41842ED7"/>
    <w:rsid w:val="41E80EEB"/>
    <w:rsid w:val="44E060C2"/>
    <w:rsid w:val="4708796F"/>
    <w:rsid w:val="47283916"/>
    <w:rsid w:val="4A8C26DF"/>
    <w:rsid w:val="4ADA4B03"/>
    <w:rsid w:val="4C6F2CC0"/>
    <w:rsid w:val="4D601418"/>
    <w:rsid w:val="508F329F"/>
    <w:rsid w:val="52264F17"/>
    <w:rsid w:val="527B4618"/>
    <w:rsid w:val="52B813CD"/>
    <w:rsid w:val="52D653D6"/>
    <w:rsid w:val="55130286"/>
    <w:rsid w:val="56BB45A1"/>
    <w:rsid w:val="58E50BA2"/>
    <w:rsid w:val="598B674F"/>
    <w:rsid w:val="5B8E2CD1"/>
    <w:rsid w:val="5D5E44AA"/>
    <w:rsid w:val="628F7431"/>
    <w:rsid w:val="67D866A0"/>
    <w:rsid w:val="6B9E0A74"/>
    <w:rsid w:val="6C28527F"/>
    <w:rsid w:val="6D6123F1"/>
    <w:rsid w:val="7357203A"/>
    <w:rsid w:val="75352A78"/>
    <w:rsid w:val="7835786E"/>
    <w:rsid w:val="7C2B051C"/>
    <w:rsid w:val="7CDA58DC"/>
    <w:rsid w:val="7E0E6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表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pPr>
      <w:spacing w:after="160" w:line="278" w:lineRule="auto"/>
    </w:pPr>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 w:type="paragraph" w:customStyle="1" w:styleId="3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51C58-2E0D-40A0-A8ED-C01B338F4D4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1141</Words>
  <Characters>1211</Characters>
  <Lines>75</Lines>
  <Paragraphs>73</Paragraphs>
  <TotalTime>30</TotalTime>
  <ScaleCrop>false</ScaleCrop>
  <LinksUpToDate>false</LinksUpToDate>
  <CharactersWithSpaces>2279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cp:lastModifiedBy>
  <cp:lastPrinted>2021-12-09T07:52:00Z</cp:lastPrinted>
  <dcterms:modified xsi:type="dcterms:W3CDTF">2025-07-17T02:01:32Z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19CE6C4B7F8A43C7981FA066754F118C</vt:lpwstr>
  </property>
  <property fmtid="{D5CDD505-2E9C-101B-9397-08002B2CF9AE}" pid="4" name="KSOTemplateDocerSaveRecord">
    <vt:lpwstr>eyJoZGlkIjoiZmJkZTk3ODg5MTI3Yzg2NTliNTkzMzU2ZDkwYjg5MWYiLCJ1c2VySWQiOiIxNDQ0OTQ5MDEwIn0=</vt:lpwstr>
  </property>
</Properties>
</file>