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napToGrid/>
        <w:spacing w:line="400" w:lineRule="exact"/>
        <w:textAlignment w:val="auto"/>
        <w:rPr>
          <w:rFonts w:ascii="宋体" w:hAnsi="宋体"/>
          <w:b/>
          <w:sz w:val="28"/>
          <w:szCs w:val="28"/>
        </w:rPr>
      </w:pPr>
      <w:r>
        <w:rPr>
          <w:rFonts w:hint="eastAsia" w:ascii="宋体" w:hAnsi="宋体"/>
          <w:b/>
          <w:sz w:val="28"/>
          <w:szCs w:val="28"/>
        </w:rPr>
        <w:t>附件3</w:t>
      </w:r>
    </w:p>
    <w:p>
      <w:pPr>
        <w:keepNext w:val="0"/>
        <w:keepLines w:val="0"/>
        <w:pageBreakBefore w:val="0"/>
        <w:kinsoku/>
        <w:wordWrap/>
        <w:overflowPunct/>
        <w:topLinePunct w:val="0"/>
        <w:bidi w:val="0"/>
        <w:snapToGrid/>
        <w:spacing w:line="400" w:lineRule="exact"/>
        <w:jc w:val="center"/>
        <w:textAlignment w:val="auto"/>
        <w:rPr>
          <w:rFonts w:ascii="宋体" w:hAnsi="宋体"/>
          <w:b/>
          <w:sz w:val="28"/>
          <w:szCs w:val="28"/>
        </w:rPr>
      </w:pPr>
      <w:r>
        <w:rPr>
          <w:rFonts w:hint="eastAsia" w:ascii="宋体" w:hAnsi="宋体"/>
          <w:b/>
          <w:sz w:val="28"/>
          <w:szCs w:val="28"/>
        </w:rPr>
        <w:t>采购需求</w:t>
      </w:r>
    </w:p>
    <w:tbl>
      <w:tblPr>
        <w:tblStyle w:val="11"/>
        <w:tblW w:w="92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30"/>
        <w:gridCol w:w="983"/>
        <w:gridCol w:w="948"/>
        <w:gridCol w:w="920"/>
        <w:gridCol w:w="1471"/>
        <w:gridCol w:w="405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9209"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left"/>
              <w:textAlignment w:val="auto"/>
              <w:rPr>
                <w:rFonts w:ascii="宋体" w:hAnsi="宋体"/>
                <w:b/>
                <w:szCs w:val="21"/>
              </w:rPr>
            </w:pPr>
            <w:r>
              <w:rPr>
                <w:rFonts w:hint="eastAsia" w:ascii="宋体" w:hAnsi="宋体"/>
                <w:b/>
                <w:szCs w:val="21"/>
              </w:rPr>
              <w:t>一、物品参数需求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83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b/>
                <w:szCs w:val="21"/>
              </w:rPr>
            </w:pPr>
            <w:r>
              <w:rPr>
                <w:rFonts w:hint="eastAsia" w:ascii="宋体" w:hAnsi="宋体"/>
                <w:b/>
                <w:szCs w:val="21"/>
              </w:rPr>
              <w:t>序号</w:t>
            </w:r>
          </w:p>
        </w:tc>
        <w:tc>
          <w:tcPr>
            <w:tcW w:w="193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b/>
                <w:szCs w:val="21"/>
              </w:rPr>
            </w:pPr>
            <w:r>
              <w:rPr>
                <w:rFonts w:hint="eastAsia" w:ascii="宋体" w:hAnsi="宋体"/>
                <w:b/>
                <w:szCs w:val="21"/>
              </w:rPr>
              <w:t>采购物品名称</w:t>
            </w:r>
          </w:p>
        </w:tc>
        <w:tc>
          <w:tcPr>
            <w:tcW w:w="9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b/>
                <w:szCs w:val="21"/>
              </w:rPr>
            </w:pPr>
            <w:r>
              <w:rPr>
                <w:rFonts w:hint="eastAsia" w:ascii="宋体" w:hAnsi="宋体"/>
                <w:b/>
                <w:szCs w:val="21"/>
              </w:rPr>
              <w:t>品牌</w:t>
            </w:r>
          </w:p>
        </w:tc>
        <w:tc>
          <w:tcPr>
            <w:tcW w:w="14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b/>
                <w:szCs w:val="21"/>
              </w:rPr>
            </w:pPr>
            <w:r>
              <w:rPr>
                <w:rFonts w:hint="eastAsia" w:ascii="宋体" w:hAnsi="宋体"/>
                <w:b/>
                <w:szCs w:val="21"/>
              </w:rPr>
              <w:t>数量</w:t>
            </w:r>
          </w:p>
          <w:p>
            <w:pPr>
              <w:keepNext w:val="0"/>
              <w:keepLines w:val="0"/>
              <w:pageBreakBefore w:val="0"/>
              <w:kinsoku/>
              <w:wordWrap/>
              <w:overflowPunct/>
              <w:topLinePunct w:val="0"/>
              <w:bidi w:val="0"/>
              <w:snapToGrid/>
              <w:spacing w:line="360" w:lineRule="auto"/>
              <w:jc w:val="center"/>
              <w:textAlignment w:val="auto"/>
              <w:rPr>
                <w:rFonts w:ascii="宋体" w:hAnsi="宋体"/>
                <w:b/>
                <w:szCs w:val="21"/>
              </w:rPr>
            </w:pPr>
            <w:r>
              <w:rPr>
                <w:rFonts w:hint="eastAsia" w:ascii="宋体" w:hAnsi="宋体"/>
                <w:b/>
                <w:szCs w:val="21"/>
              </w:rPr>
              <w:t>单位</w:t>
            </w:r>
          </w:p>
        </w:tc>
        <w:tc>
          <w:tcPr>
            <w:tcW w:w="40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b/>
                <w:szCs w:val="21"/>
              </w:rPr>
            </w:pPr>
            <w:r>
              <w:rPr>
                <w:rFonts w:hint="eastAsia" w:ascii="宋体" w:hAnsi="宋体"/>
                <w:b/>
                <w:szCs w:val="21"/>
              </w:rPr>
              <w:t>项目要求及物品参数需求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626" w:hRule="atLeast"/>
          <w:jc w:val="center"/>
        </w:trPr>
        <w:tc>
          <w:tcPr>
            <w:tcW w:w="83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ascii="宋体" w:hAnsi="宋体"/>
                <w:szCs w:val="21"/>
              </w:rPr>
            </w:pPr>
            <w:r>
              <w:rPr>
                <w:rFonts w:hint="eastAsia" w:ascii="宋体" w:hAnsi="宋体"/>
                <w:szCs w:val="21"/>
              </w:rPr>
              <w:t>1</w:t>
            </w:r>
          </w:p>
        </w:tc>
        <w:tc>
          <w:tcPr>
            <w:tcW w:w="193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240" w:lineRule="auto"/>
              <w:jc w:val="center"/>
              <w:textAlignment w:val="auto"/>
              <w:rPr>
                <w:rFonts w:ascii="宋体" w:hAnsi="宋体" w:cs="宋体"/>
                <w:kern w:val="0"/>
                <w:szCs w:val="21"/>
              </w:rPr>
            </w:pPr>
            <w:r>
              <w:rPr>
                <w:rFonts w:hint="eastAsia" w:asciiTheme="minorEastAsia" w:hAnsiTheme="minorEastAsia" w:eastAsiaTheme="minorEastAsia" w:cstheme="minorEastAsia"/>
                <w:color w:val="333333"/>
                <w:kern w:val="0"/>
                <w:sz w:val="22"/>
                <w:u w:val="none"/>
                <w:lang w:val="en-US" w:eastAsia="zh-CN"/>
              </w:rPr>
              <w:t>广西中医药大学明秀校区防火门更换维修项目</w:t>
            </w:r>
          </w:p>
        </w:tc>
        <w:tc>
          <w:tcPr>
            <w:tcW w:w="9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cs="宋体" w:eastAsiaTheme="minorEastAsia"/>
                <w:kern w:val="0"/>
                <w:szCs w:val="21"/>
                <w:lang w:val="en-US" w:eastAsia="zh-CN"/>
              </w:rPr>
            </w:pPr>
            <w:r>
              <w:rPr>
                <w:rFonts w:hint="eastAsia" w:ascii="宋体" w:hAnsi="宋体" w:cs="宋体"/>
                <w:kern w:val="0"/>
                <w:szCs w:val="21"/>
                <w:lang w:val="en-US" w:eastAsia="zh-CN"/>
              </w:rPr>
              <w:t>-</w:t>
            </w:r>
          </w:p>
        </w:tc>
        <w:tc>
          <w:tcPr>
            <w:tcW w:w="147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spacing w:line="360" w:lineRule="auto"/>
              <w:jc w:val="center"/>
              <w:textAlignment w:val="auto"/>
              <w:rPr>
                <w:rFonts w:hint="default" w:ascii="宋体" w:hAnsi="宋体" w:cs="宋体" w:eastAsiaTheme="minorEastAsia"/>
                <w:kern w:val="0"/>
                <w:szCs w:val="21"/>
                <w:lang w:val="en-US" w:eastAsia="zh-CN"/>
              </w:rPr>
            </w:pPr>
            <w:r>
              <w:rPr>
                <w:rFonts w:hint="eastAsia" w:ascii="宋体" w:hAnsi="宋体" w:cs="宋体"/>
                <w:kern w:val="0"/>
                <w:szCs w:val="21"/>
                <w:lang w:val="en-US" w:eastAsia="zh-CN"/>
              </w:rPr>
              <w:t xml:space="preserve"> 1项</w:t>
            </w:r>
          </w:p>
        </w:tc>
        <w:tc>
          <w:tcPr>
            <w:tcW w:w="40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textAlignment w:val="auto"/>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乙级钢制防火门</w:t>
            </w:r>
          </w:p>
          <w:p>
            <w:pPr>
              <w:keepNext w:val="0"/>
              <w:keepLines w:val="0"/>
              <w:pageBreakBefore w:val="0"/>
              <w:kinsoku/>
              <w:wordWrap/>
              <w:overflowPunct/>
              <w:topLinePunct w:val="0"/>
              <w:bidi w:val="0"/>
              <w:snapToGrid/>
              <w:textAlignment w:val="auto"/>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1.部位：明秀校区图书馆、留学生宿舍楼、会展中心</w:t>
            </w:r>
          </w:p>
          <w:p>
            <w:pPr>
              <w:keepNext w:val="0"/>
              <w:keepLines w:val="0"/>
              <w:pageBreakBefore w:val="0"/>
              <w:kinsoku/>
              <w:wordWrap/>
              <w:overflowPunct/>
              <w:topLinePunct w:val="0"/>
              <w:bidi w:val="0"/>
              <w:snapToGrid/>
              <w:textAlignment w:val="auto"/>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2.尺寸（平方米）：详见</w:t>
            </w:r>
            <w:r>
              <w:rPr>
                <w:rFonts w:hint="eastAsia" w:asciiTheme="minorEastAsia" w:hAnsiTheme="minorEastAsia" w:cstheme="minorEastAsia"/>
                <w:sz w:val="20"/>
                <w:szCs w:val="20"/>
                <w:lang w:val="en-US" w:eastAsia="zh-CN"/>
              </w:rPr>
              <w:t>广西中医药明秀校区防火门表格</w:t>
            </w:r>
            <w:r>
              <w:rPr>
                <w:rFonts w:hint="eastAsia" w:asciiTheme="minorEastAsia" w:hAnsiTheme="minorEastAsia" w:eastAsiaTheme="minorEastAsia" w:cstheme="minorEastAsia"/>
                <w:sz w:val="20"/>
                <w:szCs w:val="20"/>
                <w:lang w:val="en-US" w:eastAsia="zh-CN"/>
              </w:rPr>
              <w:t>；执行标准: GB12955- 2008《防火门》；选用当地消防部门认可产品</w:t>
            </w:r>
          </w:p>
          <w:p>
            <w:pPr>
              <w:keepNext w:val="0"/>
              <w:keepLines w:val="0"/>
              <w:pageBreakBefore w:val="0"/>
              <w:kinsoku/>
              <w:wordWrap/>
              <w:overflowPunct/>
              <w:topLinePunct w:val="0"/>
              <w:bidi w:val="0"/>
              <w:snapToGrid/>
              <w:textAlignment w:val="auto"/>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3.材料厚度mm：</w:t>
            </w:r>
            <w:r>
              <w:rPr>
                <w:rFonts w:hint="eastAsia" w:asciiTheme="minorEastAsia" w:hAnsiTheme="minorEastAsia" w:eastAsiaTheme="minorEastAsia" w:cstheme="minorEastAsia"/>
                <w:color w:val="000000"/>
                <w:spacing w:val="-2"/>
                <w:sz w:val="20"/>
                <w:szCs w:val="20"/>
                <w:lang w:val="en-US" w:eastAsia="en-US" w:bidi="ar-SA"/>
              </w:rPr>
              <w:t>门扇面板≥0.8</w:t>
            </w:r>
            <w:r>
              <w:rPr>
                <w:rFonts w:hint="eastAsia" w:asciiTheme="minorEastAsia" w:hAnsiTheme="minorEastAsia" w:eastAsiaTheme="minorEastAsia" w:cstheme="minorEastAsia"/>
                <w:color w:val="000000"/>
                <w:spacing w:val="-2"/>
                <w:sz w:val="20"/>
                <w:szCs w:val="20"/>
                <w:lang w:val="en-US" w:eastAsia="zh-CN" w:bidi="ar-SA"/>
              </w:rPr>
              <w:t>；</w:t>
            </w:r>
            <w:r>
              <w:rPr>
                <w:rFonts w:hint="eastAsia" w:asciiTheme="minorEastAsia" w:hAnsiTheme="minorEastAsia" w:eastAsiaTheme="minorEastAsia" w:cstheme="minorEastAsia"/>
                <w:color w:val="000000"/>
                <w:spacing w:val="-3"/>
                <w:sz w:val="20"/>
                <w:szCs w:val="20"/>
                <w:lang w:val="en-US" w:eastAsia="en-US" w:bidi="ar-SA"/>
              </w:rPr>
              <w:t>门框板≥1.2</w:t>
            </w:r>
            <w:r>
              <w:rPr>
                <w:rFonts w:hint="eastAsia" w:asciiTheme="minorEastAsia" w:hAnsiTheme="minorEastAsia" w:eastAsiaTheme="minorEastAsia" w:cstheme="minorEastAsia"/>
                <w:color w:val="000000"/>
                <w:spacing w:val="-3"/>
                <w:sz w:val="20"/>
                <w:szCs w:val="20"/>
                <w:lang w:val="en-US" w:eastAsia="zh-CN" w:bidi="ar-SA"/>
              </w:rPr>
              <w:t>；</w:t>
            </w:r>
            <w:r>
              <w:rPr>
                <w:rFonts w:hint="eastAsia" w:asciiTheme="minorEastAsia" w:hAnsiTheme="minorEastAsia" w:eastAsiaTheme="minorEastAsia" w:cstheme="minorEastAsia"/>
                <w:color w:val="000000"/>
                <w:spacing w:val="-1"/>
                <w:sz w:val="20"/>
                <w:szCs w:val="20"/>
                <w:lang w:val="en-US" w:eastAsia="en-US" w:bidi="ar-SA"/>
              </w:rPr>
              <w:t>铰链板≥3.0</w:t>
            </w:r>
          </w:p>
          <w:p>
            <w:pPr>
              <w:keepNext w:val="0"/>
              <w:keepLines w:val="0"/>
              <w:pageBreakBefore w:val="0"/>
              <w:kinsoku/>
              <w:wordWrap/>
              <w:overflowPunct/>
              <w:topLinePunct w:val="0"/>
              <w:bidi w:val="0"/>
              <w:snapToGrid/>
              <w:textAlignment w:val="auto"/>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4.</w:t>
            </w:r>
            <w:r>
              <w:rPr>
                <w:rFonts w:hint="eastAsia" w:asciiTheme="minorEastAsia" w:hAnsiTheme="minorEastAsia" w:eastAsiaTheme="minorEastAsia" w:cstheme="minorEastAsia"/>
                <w:color w:val="000000"/>
                <w:spacing w:val="2"/>
                <w:sz w:val="20"/>
                <w:szCs w:val="20"/>
                <w:lang w:val="en-US" w:eastAsia="en-US" w:bidi="ar-SA"/>
              </w:rPr>
              <w:t>尺寸极限偏差</w:t>
            </w:r>
            <w:r>
              <w:rPr>
                <w:rFonts w:hint="eastAsia" w:asciiTheme="minorEastAsia" w:hAnsiTheme="minorEastAsia" w:eastAsiaTheme="minorEastAsia" w:cstheme="minorEastAsia"/>
                <w:color w:val="000000"/>
                <w:spacing w:val="2"/>
                <w:sz w:val="20"/>
                <w:szCs w:val="20"/>
                <w:lang w:val="en-US" w:eastAsia="zh-CN" w:bidi="ar-SA"/>
              </w:rPr>
              <w:t>mm:</w:t>
            </w:r>
            <w:r>
              <w:rPr>
                <w:rFonts w:hint="eastAsia" w:asciiTheme="minorEastAsia" w:hAnsiTheme="minorEastAsia" w:eastAsiaTheme="minorEastAsia" w:cstheme="minorEastAsia"/>
                <w:color w:val="000000"/>
                <w:spacing w:val="3"/>
                <w:sz w:val="20"/>
                <w:szCs w:val="20"/>
                <w:lang w:val="en-US" w:eastAsia="en-US" w:bidi="ar-SA"/>
              </w:rPr>
              <w:t>门扇高度：±2</w:t>
            </w:r>
            <w:r>
              <w:rPr>
                <w:rFonts w:hint="eastAsia" w:asciiTheme="minorEastAsia" w:hAnsiTheme="minorEastAsia" w:eastAsiaTheme="minorEastAsia" w:cstheme="minorEastAsia"/>
                <w:color w:val="000000"/>
                <w:spacing w:val="3"/>
                <w:sz w:val="20"/>
                <w:szCs w:val="20"/>
                <w:lang w:val="en-US" w:eastAsia="zh-CN" w:bidi="ar-SA"/>
              </w:rPr>
              <w:t>;</w:t>
            </w:r>
            <w:r>
              <w:rPr>
                <w:rFonts w:hint="eastAsia" w:asciiTheme="minorEastAsia" w:hAnsiTheme="minorEastAsia" w:eastAsiaTheme="minorEastAsia" w:cstheme="minorEastAsia"/>
                <w:color w:val="000000"/>
                <w:spacing w:val="2"/>
                <w:sz w:val="20"/>
                <w:szCs w:val="20"/>
                <w:lang w:val="en-US" w:eastAsia="en-US" w:bidi="ar-SA"/>
              </w:rPr>
              <w:t>门扇宽度：±2</w:t>
            </w:r>
            <w:r>
              <w:rPr>
                <w:rFonts w:hint="eastAsia" w:asciiTheme="minorEastAsia" w:hAnsiTheme="minorEastAsia" w:eastAsiaTheme="minorEastAsia" w:cstheme="minorEastAsia"/>
                <w:color w:val="000000"/>
                <w:spacing w:val="2"/>
                <w:sz w:val="20"/>
                <w:szCs w:val="20"/>
                <w:lang w:val="en-US" w:eastAsia="zh-CN" w:bidi="ar-SA"/>
              </w:rPr>
              <w:t>;</w:t>
            </w:r>
            <w:r>
              <w:rPr>
                <w:rFonts w:hint="eastAsia" w:asciiTheme="minorEastAsia" w:hAnsiTheme="minorEastAsia" w:eastAsiaTheme="minorEastAsia" w:cstheme="minorEastAsia"/>
                <w:color w:val="000000"/>
                <w:spacing w:val="2"/>
                <w:sz w:val="20"/>
                <w:szCs w:val="20"/>
                <w:lang w:val="en-US" w:eastAsia="en-US" w:bidi="ar-SA"/>
              </w:rPr>
              <w:t>门扇厚度：-1~+2</w:t>
            </w:r>
            <w:r>
              <w:rPr>
                <w:rFonts w:hint="eastAsia" w:asciiTheme="minorEastAsia" w:hAnsiTheme="minorEastAsia" w:eastAsiaTheme="minorEastAsia" w:cstheme="minorEastAsia"/>
                <w:color w:val="000000"/>
                <w:spacing w:val="2"/>
                <w:sz w:val="20"/>
                <w:szCs w:val="20"/>
                <w:lang w:val="en-US" w:eastAsia="zh-CN" w:bidi="ar-SA"/>
              </w:rPr>
              <w:t>;</w:t>
            </w:r>
            <w:r>
              <w:rPr>
                <w:rFonts w:hint="eastAsia" w:asciiTheme="minorEastAsia" w:hAnsiTheme="minorEastAsia" w:eastAsiaTheme="minorEastAsia" w:cstheme="minorEastAsia"/>
                <w:color w:val="000000"/>
                <w:spacing w:val="1"/>
                <w:sz w:val="20"/>
                <w:szCs w:val="20"/>
                <w:lang w:val="en-US" w:eastAsia="en-US" w:bidi="ar-SA"/>
              </w:rPr>
              <w:t>门框内裁口高度：±3</w:t>
            </w:r>
            <w:r>
              <w:rPr>
                <w:rFonts w:hint="eastAsia" w:asciiTheme="minorEastAsia" w:hAnsiTheme="minorEastAsia" w:eastAsiaTheme="minorEastAsia" w:cstheme="minorEastAsia"/>
                <w:color w:val="000000"/>
                <w:spacing w:val="1"/>
                <w:sz w:val="20"/>
                <w:szCs w:val="20"/>
                <w:lang w:val="en-US" w:eastAsia="zh-CN" w:bidi="ar-SA"/>
              </w:rPr>
              <w:t>;</w:t>
            </w:r>
            <w:r>
              <w:rPr>
                <w:rFonts w:hint="eastAsia" w:asciiTheme="minorEastAsia" w:hAnsiTheme="minorEastAsia" w:eastAsiaTheme="minorEastAsia" w:cstheme="minorEastAsia"/>
                <w:color w:val="000000"/>
                <w:spacing w:val="1"/>
                <w:sz w:val="20"/>
                <w:szCs w:val="20"/>
                <w:lang w:val="en-US" w:eastAsia="en-US" w:bidi="ar-SA"/>
              </w:rPr>
              <w:t>门框内裁口宽度：±2</w:t>
            </w:r>
            <w:r>
              <w:rPr>
                <w:rFonts w:hint="eastAsia" w:asciiTheme="minorEastAsia" w:hAnsiTheme="minorEastAsia" w:eastAsiaTheme="minorEastAsia" w:cstheme="minorEastAsia"/>
                <w:color w:val="000000"/>
                <w:spacing w:val="1"/>
                <w:sz w:val="20"/>
                <w:szCs w:val="20"/>
                <w:lang w:val="en-US" w:eastAsia="zh-CN" w:bidi="ar-SA"/>
              </w:rPr>
              <w:t>;</w:t>
            </w:r>
            <w:r>
              <w:rPr>
                <w:rFonts w:hint="eastAsia" w:asciiTheme="minorEastAsia" w:hAnsiTheme="minorEastAsia" w:eastAsiaTheme="minorEastAsia" w:cstheme="minorEastAsia"/>
                <w:color w:val="000000"/>
                <w:sz w:val="20"/>
                <w:szCs w:val="20"/>
                <w:lang w:val="en-US" w:eastAsia="en-US" w:bidi="ar-SA"/>
              </w:rPr>
              <w:t>门框侧壁宽度：±2</w:t>
            </w:r>
          </w:p>
          <w:p>
            <w:pPr>
              <w:keepNext w:val="0"/>
              <w:keepLines w:val="0"/>
              <w:pageBreakBefore w:val="0"/>
              <w:kinsoku/>
              <w:wordWrap/>
              <w:overflowPunct/>
              <w:topLinePunct w:val="0"/>
              <w:bidi w:val="0"/>
              <w:snapToGrid/>
              <w:textAlignment w:val="auto"/>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 xml:space="preserve">5.配合公差mm: </w:t>
            </w:r>
            <w:r>
              <w:rPr>
                <w:rFonts w:hint="eastAsia" w:asciiTheme="minorEastAsia" w:hAnsiTheme="minorEastAsia" w:eastAsiaTheme="minorEastAsia" w:cstheme="minorEastAsia"/>
                <w:color w:val="000000"/>
                <w:spacing w:val="-1"/>
                <w:sz w:val="20"/>
                <w:szCs w:val="20"/>
                <w:lang w:val="en-US" w:eastAsia="en-US" w:bidi="ar-SA"/>
              </w:rPr>
              <w:t>门扇与门框搭接尺寸≥12</w:t>
            </w:r>
            <w:r>
              <w:rPr>
                <w:rFonts w:hint="eastAsia" w:asciiTheme="minorEastAsia" w:hAnsiTheme="minorEastAsia" w:eastAsiaTheme="minorEastAsia" w:cstheme="minorEastAsia"/>
                <w:color w:val="000000"/>
                <w:spacing w:val="-1"/>
                <w:sz w:val="20"/>
                <w:szCs w:val="20"/>
                <w:lang w:val="en-US" w:eastAsia="zh-CN" w:bidi="ar-SA"/>
              </w:rPr>
              <w:t>;门扇与门框有合页一侧的配合活动间隙不应大于设计图纸规定的尺寸公差；门扇与门框有锁一侧的配合活动间隙不应大于设计图纸规定的尺寸公差；门扇与上框的配合活动间隙</w:t>
            </w:r>
            <w:r>
              <w:rPr>
                <w:rFonts w:hint="eastAsia" w:asciiTheme="minorEastAsia" w:hAnsiTheme="minorEastAsia" w:eastAsiaTheme="minorEastAsia" w:cstheme="minorEastAsia"/>
                <w:color w:val="000000"/>
                <w:spacing w:val="2"/>
                <w:sz w:val="20"/>
                <w:szCs w:val="20"/>
                <w:lang w:val="en-US" w:eastAsia="en-US" w:bidi="ar-SA"/>
              </w:rPr>
              <w:t>≤</w:t>
            </w:r>
            <w:r>
              <w:rPr>
                <w:rFonts w:hint="eastAsia" w:asciiTheme="minorEastAsia" w:hAnsiTheme="minorEastAsia" w:eastAsiaTheme="minorEastAsia" w:cstheme="minorEastAsia"/>
                <w:color w:val="000000"/>
                <w:spacing w:val="2"/>
                <w:sz w:val="20"/>
                <w:szCs w:val="20"/>
                <w:lang w:val="en-US" w:eastAsia="zh-CN" w:bidi="ar-SA"/>
              </w:rPr>
              <w:t>3；双扇、多扇门的门扇之间的缝隙</w:t>
            </w:r>
            <w:r>
              <w:rPr>
                <w:rFonts w:hint="eastAsia" w:asciiTheme="minorEastAsia" w:hAnsiTheme="minorEastAsia" w:eastAsiaTheme="minorEastAsia" w:cstheme="minorEastAsia"/>
                <w:color w:val="000000"/>
                <w:spacing w:val="2"/>
                <w:sz w:val="20"/>
                <w:szCs w:val="20"/>
                <w:lang w:val="en-US" w:eastAsia="en-US" w:bidi="ar-SA"/>
              </w:rPr>
              <w:t>≤</w:t>
            </w:r>
            <w:r>
              <w:rPr>
                <w:rFonts w:hint="eastAsia" w:asciiTheme="minorEastAsia" w:hAnsiTheme="minorEastAsia" w:eastAsiaTheme="minorEastAsia" w:cstheme="minorEastAsia"/>
                <w:color w:val="000000"/>
                <w:spacing w:val="2"/>
                <w:sz w:val="20"/>
                <w:szCs w:val="20"/>
                <w:lang w:val="en-US" w:eastAsia="zh-CN" w:bidi="ar-SA"/>
              </w:rPr>
              <w:t>3；门扇与下框或地面的活动间隙</w:t>
            </w:r>
            <w:r>
              <w:rPr>
                <w:rFonts w:hint="eastAsia" w:asciiTheme="minorEastAsia" w:hAnsiTheme="minorEastAsia" w:eastAsiaTheme="minorEastAsia" w:cstheme="minorEastAsia"/>
                <w:color w:val="000000"/>
                <w:spacing w:val="2"/>
                <w:sz w:val="20"/>
                <w:szCs w:val="20"/>
                <w:lang w:val="en-US" w:eastAsia="en-US" w:bidi="ar-SA"/>
              </w:rPr>
              <w:t>≤</w:t>
            </w:r>
            <w:r>
              <w:rPr>
                <w:rFonts w:hint="eastAsia" w:asciiTheme="minorEastAsia" w:hAnsiTheme="minorEastAsia" w:eastAsiaTheme="minorEastAsia" w:cstheme="minorEastAsia"/>
                <w:color w:val="000000"/>
                <w:spacing w:val="2"/>
                <w:sz w:val="20"/>
                <w:szCs w:val="20"/>
                <w:lang w:val="en-US" w:eastAsia="zh-CN" w:bidi="ar-SA"/>
              </w:rPr>
              <w:t>9；门扇与门框有合页一侧的贴合面间隙</w:t>
            </w:r>
            <w:r>
              <w:rPr>
                <w:rFonts w:hint="eastAsia" w:asciiTheme="minorEastAsia" w:hAnsiTheme="minorEastAsia" w:eastAsiaTheme="minorEastAsia" w:cstheme="minorEastAsia"/>
                <w:color w:val="000000"/>
                <w:spacing w:val="2"/>
                <w:sz w:val="20"/>
                <w:szCs w:val="20"/>
                <w:lang w:val="en-US" w:eastAsia="en-US" w:bidi="ar-SA"/>
              </w:rPr>
              <w:t>≤</w:t>
            </w:r>
            <w:r>
              <w:rPr>
                <w:rFonts w:hint="eastAsia" w:asciiTheme="minorEastAsia" w:hAnsiTheme="minorEastAsia" w:eastAsiaTheme="minorEastAsia" w:cstheme="minorEastAsia"/>
                <w:color w:val="000000"/>
                <w:spacing w:val="2"/>
                <w:sz w:val="20"/>
                <w:szCs w:val="20"/>
                <w:lang w:val="en-US" w:eastAsia="zh-CN" w:bidi="ar-SA"/>
              </w:rPr>
              <w:t>3；门扇与门框有锁一侧的贴合面间隙</w:t>
            </w:r>
            <w:r>
              <w:rPr>
                <w:rFonts w:hint="eastAsia" w:asciiTheme="minorEastAsia" w:hAnsiTheme="minorEastAsia" w:eastAsiaTheme="minorEastAsia" w:cstheme="minorEastAsia"/>
                <w:color w:val="000000"/>
                <w:spacing w:val="2"/>
                <w:sz w:val="20"/>
                <w:szCs w:val="20"/>
                <w:lang w:val="en-US" w:eastAsia="en-US" w:bidi="ar-SA"/>
              </w:rPr>
              <w:t>≤</w:t>
            </w:r>
            <w:r>
              <w:rPr>
                <w:rFonts w:hint="eastAsia" w:asciiTheme="minorEastAsia" w:hAnsiTheme="minorEastAsia" w:eastAsiaTheme="minorEastAsia" w:cstheme="minorEastAsia"/>
                <w:color w:val="000000"/>
                <w:spacing w:val="2"/>
                <w:sz w:val="20"/>
                <w:szCs w:val="20"/>
                <w:lang w:val="en-US" w:eastAsia="zh-CN" w:bidi="ar-SA"/>
              </w:rPr>
              <w:t>3；门扇与门框上框的贴合面间隙</w:t>
            </w:r>
            <w:r>
              <w:rPr>
                <w:rFonts w:hint="eastAsia" w:asciiTheme="minorEastAsia" w:hAnsiTheme="minorEastAsia" w:eastAsiaTheme="minorEastAsia" w:cstheme="minorEastAsia"/>
                <w:color w:val="000000"/>
                <w:spacing w:val="2"/>
                <w:sz w:val="20"/>
                <w:szCs w:val="20"/>
                <w:lang w:val="en-US" w:eastAsia="en-US" w:bidi="ar-SA"/>
              </w:rPr>
              <w:t>≤</w:t>
            </w:r>
            <w:r>
              <w:rPr>
                <w:rFonts w:hint="eastAsia" w:asciiTheme="minorEastAsia" w:hAnsiTheme="minorEastAsia" w:eastAsiaTheme="minorEastAsia" w:cstheme="minorEastAsia"/>
                <w:color w:val="000000"/>
                <w:spacing w:val="2"/>
                <w:sz w:val="20"/>
                <w:szCs w:val="20"/>
                <w:lang w:val="en-US" w:eastAsia="zh-CN" w:bidi="ar-SA"/>
              </w:rPr>
              <w:t>3；开面上门框与门扇的平面高低差</w:t>
            </w:r>
            <w:r>
              <w:rPr>
                <w:rFonts w:hint="eastAsia" w:asciiTheme="minorEastAsia" w:hAnsiTheme="minorEastAsia" w:eastAsiaTheme="minorEastAsia" w:cstheme="minorEastAsia"/>
                <w:color w:val="000000"/>
                <w:spacing w:val="2"/>
                <w:sz w:val="20"/>
                <w:szCs w:val="20"/>
                <w:lang w:val="en-US" w:eastAsia="en-US" w:bidi="ar-SA"/>
              </w:rPr>
              <w:t>≤</w:t>
            </w:r>
            <w:r>
              <w:rPr>
                <w:rFonts w:hint="eastAsia" w:asciiTheme="minorEastAsia" w:hAnsiTheme="minorEastAsia" w:eastAsiaTheme="minorEastAsia" w:cstheme="minorEastAsia"/>
                <w:color w:val="000000"/>
                <w:spacing w:val="2"/>
                <w:sz w:val="20"/>
                <w:szCs w:val="20"/>
                <w:lang w:val="en-US" w:eastAsia="zh-CN" w:bidi="ar-SA"/>
              </w:rPr>
              <w:t>1</w:t>
            </w:r>
          </w:p>
          <w:p>
            <w:pPr>
              <w:keepNext w:val="0"/>
              <w:keepLines w:val="0"/>
              <w:pageBreakBefore w:val="0"/>
              <w:kinsoku/>
              <w:wordWrap/>
              <w:overflowPunct/>
              <w:topLinePunct w:val="0"/>
              <w:bidi w:val="0"/>
              <w:snapToGrid/>
              <w:textAlignment w:val="auto"/>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6.启闭灵活性：应启闭灵活、无卡阻现象</w:t>
            </w:r>
          </w:p>
          <w:p>
            <w:pPr>
              <w:keepNext w:val="0"/>
              <w:keepLines w:val="0"/>
              <w:pageBreakBefore w:val="0"/>
              <w:kinsoku/>
              <w:wordWrap/>
              <w:overflowPunct/>
              <w:topLinePunct w:val="0"/>
              <w:bidi w:val="0"/>
              <w:snapToGrid/>
              <w:textAlignment w:val="auto"/>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7.门扇开启力，N：</w:t>
            </w:r>
            <w:r>
              <w:rPr>
                <w:rFonts w:hint="eastAsia" w:asciiTheme="minorEastAsia" w:hAnsiTheme="minorEastAsia" w:eastAsiaTheme="minorEastAsia" w:cstheme="minorEastAsia"/>
                <w:color w:val="000000"/>
                <w:spacing w:val="2"/>
                <w:sz w:val="20"/>
                <w:szCs w:val="20"/>
                <w:lang w:val="en-US" w:eastAsia="en-US" w:bidi="ar-SA"/>
              </w:rPr>
              <w:t>≤</w:t>
            </w:r>
            <w:r>
              <w:rPr>
                <w:rFonts w:hint="eastAsia" w:asciiTheme="minorEastAsia" w:hAnsiTheme="minorEastAsia" w:eastAsiaTheme="minorEastAsia" w:cstheme="minorEastAsia"/>
                <w:color w:val="000000"/>
                <w:spacing w:val="2"/>
                <w:sz w:val="20"/>
                <w:szCs w:val="20"/>
                <w:lang w:val="en-US" w:eastAsia="zh-CN" w:bidi="ar-SA"/>
              </w:rPr>
              <w:t>80</w:t>
            </w:r>
          </w:p>
          <w:p>
            <w:pPr>
              <w:keepNext w:val="0"/>
              <w:keepLines w:val="0"/>
              <w:pageBreakBefore w:val="0"/>
              <w:kinsoku/>
              <w:wordWrap/>
              <w:overflowPunct/>
              <w:topLinePunct w:val="0"/>
              <w:bidi w:val="0"/>
              <w:snapToGrid/>
              <w:textAlignment w:val="auto"/>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8.可靠性：在进行500次启闭试验后，防火门不应有松动、脱落、严重变形和启闭卡阻现象</w:t>
            </w:r>
          </w:p>
          <w:p>
            <w:pPr>
              <w:widowControl w:val="0"/>
              <w:autoSpaceDE w:val="0"/>
              <w:autoSpaceDN w:val="0"/>
              <w:spacing w:before="0" w:after="0" w:line="182" w:lineRule="exact"/>
              <w:ind w:left="0" w:right="0" w:firstLine="0"/>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9.耐火性能：耐火隔热性（</w:t>
            </w:r>
            <w:r>
              <w:rPr>
                <w:rFonts w:hint="eastAsia" w:asciiTheme="minorEastAsia" w:hAnsiTheme="minorEastAsia" w:eastAsiaTheme="minorEastAsia" w:cstheme="minorEastAsia"/>
                <w:color w:val="000000"/>
                <w:spacing w:val="1"/>
                <w:sz w:val="20"/>
                <w:szCs w:val="20"/>
                <w:lang w:val="en-US" w:eastAsia="en-US" w:bidi="ar-SA"/>
              </w:rPr>
              <w:t>A1.00(乙级)≥1.00h，试件背火</w:t>
            </w:r>
            <w:r>
              <w:rPr>
                <w:rFonts w:hint="eastAsia" w:asciiTheme="minorEastAsia" w:hAnsiTheme="minorEastAsia" w:eastAsiaTheme="minorEastAsia" w:cstheme="minorEastAsia"/>
                <w:color w:val="000000"/>
                <w:sz w:val="20"/>
                <w:szCs w:val="20"/>
                <w:lang w:val="en-US" w:eastAsia="en-US" w:bidi="ar-SA"/>
              </w:rPr>
              <w:t>表面平均温升≤140℃，试件背</w:t>
            </w:r>
            <w:r>
              <w:rPr>
                <w:rFonts w:hint="eastAsia" w:asciiTheme="minorEastAsia" w:hAnsiTheme="minorEastAsia" w:eastAsiaTheme="minorEastAsia" w:cstheme="minorEastAsia"/>
                <w:color w:val="000000"/>
                <w:sz w:val="20"/>
                <w:szCs w:val="20"/>
                <w:lang w:val="en-US" w:eastAsia="zh-CN" w:bidi="ar-SA"/>
              </w:rPr>
              <w:t>火面</w:t>
            </w:r>
            <w:r>
              <w:rPr>
                <w:rFonts w:hint="eastAsia" w:asciiTheme="minorEastAsia" w:hAnsiTheme="minorEastAsia" w:eastAsiaTheme="minorEastAsia" w:cstheme="minorEastAsia"/>
                <w:color w:val="000000"/>
                <w:spacing w:val="2"/>
                <w:sz w:val="20"/>
                <w:szCs w:val="20"/>
                <w:lang w:val="en-US" w:eastAsia="en-US" w:bidi="ar-SA"/>
              </w:rPr>
              <w:t>≤</w:t>
            </w:r>
            <w:r>
              <w:rPr>
                <w:rFonts w:hint="eastAsia" w:asciiTheme="minorEastAsia" w:hAnsiTheme="minorEastAsia" w:eastAsiaTheme="minorEastAsia" w:cstheme="minorEastAsia"/>
                <w:color w:val="000000"/>
                <w:spacing w:val="2"/>
                <w:sz w:val="20"/>
                <w:szCs w:val="20"/>
                <w:lang w:val="en-US" w:eastAsia="zh-CN" w:bidi="ar-SA"/>
              </w:rPr>
              <w:t>180</w:t>
            </w:r>
            <w:r>
              <w:rPr>
                <w:rFonts w:hint="eastAsia" w:asciiTheme="minorEastAsia" w:hAnsiTheme="minorEastAsia" w:eastAsiaTheme="minorEastAsia" w:cstheme="minorEastAsia"/>
                <w:color w:val="000000"/>
                <w:sz w:val="20"/>
                <w:szCs w:val="20"/>
                <w:lang w:val="en-US" w:eastAsia="en-US" w:bidi="ar-SA"/>
              </w:rPr>
              <w:t>℃</w:t>
            </w:r>
            <w:r>
              <w:rPr>
                <w:rFonts w:hint="eastAsia" w:asciiTheme="minorEastAsia" w:hAnsiTheme="minorEastAsia" w:eastAsiaTheme="minorEastAsia" w:cstheme="minorEastAsia"/>
                <w:color w:val="000000"/>
                <w:sz w:val="20"/>
                <w:szCs w:val="20"/>
                <w:lang w:val="en-US" w:eastAsia="zh-CN" w:bidi="ar-SA"/>
              </w:rPr>
              <w:t>，门框背火表面最高温升</w:t>
            </w:r>
            <w:r>
              <w:rPr>
                <w:rFonts w:hint="eastAsia" w:asciiTheme="minorEastAsia" w:hAnsiTheme="minorEastAsia" w:eastAsiaTheme="minorEastAsia" w:cstheme="minorEastAsia"/>
                <w:color w:val="000000"/>
                <w:spacing w:val="2"/>
                <w:sz w:val="20"/>
                <w:szCs w:val="20"/>
                <w:lang w:val="en-US" w:eastAsia="en-US" w:bidi="ar-SA"/>
              </w:rPr>
              <w:t>≤</w:t>
            </w:r>
            <w:r>
              <w:rPr>
                <w:rFonts w:hint="eastAsia" w:asciiTheme="minorEastAsia" w:hAnsiTheme="minorEastAsia" w:eastAsiaTheme="minorEastAsia" w:cstheme="minorEastAsia"/>
                <w:color w:val="000000"/>
                <w:spacing w:val="2"/>
                <w:sz w:val="20"/>
                <w:szCs w:val="20"/>
                <w:lang w:val="en-US" w:eastAsia="zh-CN" w:bidi="ar-SA"/>
              </w:rPr>
              <w:t>360</w:t>
            </w:r>
            <w:r>
              <w:rPr>
                <w:rFonts w:hint="eastAsia" w:asciiTheme="minorEastAsia" w:hAnsiTheme="minorEastAsia" w:eastAsiaTheme="minorEastAsia" w:cstheme="minorEastAsia"/>
                <w:color w:val="000000"/>
                <w:sz w:val="20"/>
                <w:szCs w:val="20"/>
                <w:lang w:val="en-US" w:eastAsia="en-US" w:bidi="ar-SA"/>
              </w:rPr>
              <w:t>℃</w:t>
            </w:r>
            <w:r>
              <w:rPr>
                <w:rFonts w:hint="eastAsia" w:asciiTheme="minorEastAsia" w:hAnsiTheme="minorEastAsia" w:eastAsiaTheme="minorEastAsia" w:cstheme="minorEastAsia"/>
                <w:sz w:val="20"/>
                <w:szCs w:val="20"/>
                <w:lang w:val="en-US" w:eastAsia="zh-CN"/>
              </w:rPr>
              <w:t>）；耐火完整性（</w:t>
            </w:r>
            <w:r>
              <w:rPr>
                <w:rFonts w:hint="eastAsia" w:asciiTheme="minorEastAsia" w:hAnsiTheme="minorEastAsia" w:eastAsiaTheme="minorEastAsia" w:cstheme="minorEastAsia"/>
                <w:color w:val="000000"/>
                <w:spacing w:val="2"/>
                <w:sz w:val="20"/>
                <w:szCs w:val="20"/>
                <w:lang w:val="en-US" w:eastAsia="en-US" w:bidi="ar-SA"/>
              </w:rPr>
              <w:t>A1.00(乙级)≥1.00h，试件背火</w:t>
            </w:r>
            <w:r>
              <w:rPr>
                <w:rFonts w:hint="eastAsia" w:asciiTheme="minorEastAsia" w:hAnsiTheme="minorEastAsia" w:eastAsiaTheme="minorEastAsia" w:cstheme="minorEastAsia"/>
                <w:color w:val="000000"/>
                <w:spacing w:val="2"/>
                <w:sz w:val="20"/>
                <w:szCs w:val="20"/>
                <w:lang w:val="en-US" w:eastAsia="zh-CN" w:bidi="ar-SA"/>
              </w:rPr>
              <w:t>面未出现持续10s以上火焰，棉垫未点燃；缝隙探棒不可以穿过试件进入炉内</w:t>
            </w:r>
            <w:r>
              <w:rPr>
                <w:rFonts w:hint="eastAsia" w:asciiTheme="minorEastAsia" w:hAnsiTheme="minorEastAsia" w:eastAsiaTheme="minorEastAsia" w:cstheme="minorEastAsia"/>
                <w:color w:val="000000"/>
                <w:spacing w:val="2"/>
                <w:sz w:val="20"/>
                <w:szCs w:val="20"/>
                <w:lang w:val="en-US" w:eastAsia="en-US" w:bidi="ar-SA"/>
              </w:rPr>
              <w:t>D6mm</w:t>
            </w:r>
            <w:r>
              <w:rPr>
                <w:rFonts w:hint="eastAsia" w:asciiTheme="minorEastAsia" w:hAnsiTheme="minorEastAsia" w:eastAsiaTheme="minorEastAsia" w:cstheme="minorEastAsia"/>
                <w:color w:val="000000"/>
                <w:spacing w:val="2"/>
                <w:sz w:val="20"/>
                <w:szCs w:val="20"/>
                <w:lang w:val="en-US" w:eastAsia="zh-CN" w:bidi="ar-SA"/>
              </w:rPr>
              <w:t>缝隙棒穿过试件进入炉内，并沿缝隙放行移动150mm的长度D25mm的缝隙棒穿过试件进入炉内）</w:t>
            </w:r>
          </w:p>
          <w:p>
            <w:pPr>
              <w:keepNext w:val="0"/>
              <w:keepLines w:val="0"/>
              <w:pageBreakBefore w:val="0"/>
              <w:kinsoku/>
              <w:wordWrap/>
              <w:overflowPunct/>
              <w:topLinePunct w:val="0"/>
              <w:bidi w:val="0"/>
              <w:snapToGrid/>
              <w:textAlignment w:val="auto"/>
              <w:rPr>
                <w:rFonts w:hint="eastAsia" w:asciiTheme="minorEastAsia" w:hAnsiTheme="minorEastAsia" w:cstheme="minorEastAsia"/>
                <w:lang w:val="en-US" w:eastAsia="zh-CN"/>
              </w:rPr>
            </w:pPr>
            <w:r>
              <w:rPr>
                <w:rFonts w:hint="eastAsia" w:eastAsia="仿宋"/>
                <w:lang w:val="en-US" w:eastAsia="zh-CN"/>
              </w:rPr>
              <w:t>10.</w:t>
            </w:r>
            <w:r>
              <w:rPr>
                <w:rFonts w:hint="eastAsia" w:asciiTheme="minorEastAsia" w:hAnsiTheme="minorEastAsia" w:cstheme="minorEastAsia"/>
                <w:lang w:val="en-US" w:eastAsia="zh-CN"/>
              </w:rPr>
              <w:t>更换43个闭门器</w:t>
            </w:r>
          </w:p>
          <w:p>
            <w:pPr>
              <w:keepNext w:val="0"/>
              <w:keepLines w:val="0"/>
              <w:pageBreakBefore w:val="0"/>
              <w:kinsoku/>
              <w:wordWrap/>
              <w:overflowPunct/>
              <w:topLinePunct w:val="0"/>
              <w:bidi w:val="0"/>
              <w:snapToGrid/>
              <w:textAlignment w:val="auto"/>
              <w:rPr>
                <w:rFonts w:hint="eastAsia" w:asciiTheme="minorEastAsia" w:hAnsiTheme="minorEastAsia" w:cstheme="minorEastAsia"/>
                <w:lang w:val="en-US" w:eastAsia="zh-CN"/>
              </w:rPr>
            </w:pPr>
            <w:r>
              <w:rPr>
                <w:rFonts w:hint="eastAsia" w:asciiTheme="minorEastAsia" w:hAnsiTheme="minorEastAsia" w:cstheme="minorEastAsia"/>
                <w:lang w:val="en-US" w:eastAsia="zh-CN"/>
              </w:rPr>
              <w:t>11.更换84个顺序器</w:t>
            </w:r>
          </w:p>
          <w:p>
            <w:pPr>
              <w:keepNext w:val="0"/>
              <w:keepLines w:val="0"/>
              <w:pageBreakBefore w:val="0"/>
              <w:kinsoku/>
              <w:wordWrap/>
              <w:overflowPunct/>
              <w:topLinePunct w:val="0"/>
              <w:bidi w:val="0"/>
              <w:snapToGrid/>
              <w:textAlignment w:val="auto"/>
              <w:rPr>
                <w:rFonts w:hint="eastAsia" w:asciiTheme="minorEastAsia" w:hAnsiTheme="minorEastAsia" w:cstheme="minorEastAsia"/>
                <w:lang w:val="en-US" w:eastAsia="zh-CN"/>
              </w:rPr>
            </w:pPr>
            <w:r>
              <w:rPr>
                <w:rFonts w:hint="eastAsia" w:asciiTheme="minorEastAsia" w:hAnsiTheme="minorEastAsia" w:cstheme="minorEastAsia"/>
                <w:lang w:val="en-US" w:eastAsia="zh-CN"/>
              </w:rPr>
              <w:t>12.具备消防施工资质</w:t>
            </w:r>
          </w:p>
          <w:p>
            <w:pPr>
              <w:keepNext w:val="0"/>
              <w:keepLines w:val="0"/>
              <w:pageBreakBefore w:val="0"/>
              <w:kinsoku/>
              <w:wordWrap/>
              <w:overflowPunct/>
              <w:topLinePunct w:val="0"/>
              <w:bidi w:val="0"/>
              <w:snapToGrid/>
              <w:textAlignment w:val="auto"/>
              <w:rPr>
                <w:rFonts w:hint="default" w:asciiTheme="minorEastAsia" w:hAnsiTheme="minorEastAsia" w:cstheme="minorEastAsia"/>
                <w:lang w:val="en-US" w:eastAsia="zh-CN"/>
              </w:rPr>
            </w:pPr>
            <w:r>
              <w:rPr>
                <w:rFonts w:hint="eastAsia" w:asciiTheme="minorEastAsia" w:hAnsiTheme="minorEastAsia" w:cstheme="minorEastAsia"/>
                <w:lang w:val="en-US" w:eastAsia="zh-CN"/>
              </w:rPr>
              <w:t>13.品牌：参数相当或者优于上述参数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9209"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tabs>
                <w:tab w:val="left" w:pos="1820"/>
              </w:tabs>
              <w:kinsoku/>
              <w:wordWrap/>
              <w:overflowPunct/>
              <w:topLinePunct w:val="0"/>
              <w:bidi w:val="0"/>
              <w:snapToGrid/>
              <w:spacing w:line="360" w:lineRule="auto"/>
              <w:textAlignment w:val="auto"/>
              <w:rPr>
                <w:rFonts w:ascii="宋体" w:hAnsi="宋体" w:cs="宋体"/>
                <w:kern w:val="0"/>
                <w:szCs w:val="21"/>
              </w:rPr>
            </w:pPr>
            <w:r>
              <w:rPr>
                <w:rFonts w:hint="eastAsia" w:ascii="宋体" w:hAnsi="宋体" w:cs="宋体"/>
                <w:kern w:val="0"/>
                <w:szCs w:val="21"/>
              </w:rPr>
              <w:t>二、商务需求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jc w:val="center"/>
        </w:trPr>
        <w:tc>
          <w:tcPr>
            <w:tcW w:w="181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Theme="majorEastAsia" w:hAnsiTheme="majorEastAsia" w:eastAsiaTheme="majorEastAsia" w:cstheme="majorEastAsia"/>
                <w:kern w:val="0"/>
                <w:sz w:val="18"/>
                <w:szCs w:val="18"/>
              </w:rPr>
            </w:pPr>
            <w:r>
              <w:rPr>
                <w:rFonts w:hint="eastAsia" w:asciiTheme="majorEastAsia" w:hAnsiTheme="majorEastAsia" w:eastAsiaTheme="majorEastAsia" w:cstheme="majorEastAsia"/>
                <w:sz w:val="18"/>
                <w:szCs w:val="18"/>
              </w:rPr>
              <w:t>服务期限及地点</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质保期：</w:t>
            </w:r>
            <w:r>
              <w:rPr>
                <w:rFonts w:hint="eastAsia" w:asciiTheme="majorEastAsia" w:hAnsiTheme="majorEastAsia" w:eastAsiaTheme="majorEastAsia" w:cstheme="majorEastAsia"/>
                <w:color w:val="0000FF"/>
                <w:kern w:val="0"/>
                <w:sz w:val="18"/>
                <w:szCs w:val="18"/>
              </w:rPr>
              <w:t>质保期为</w:t>
            </w:r>
            <w:r>
              <w:rPr>
                <w:rFonts w:hint="eastAsia" w:asciiTheme="majorEastAsia" w:hAnsiTheme="majorEastAsia" w:eastAsiaTheme="majorEastAsia" w:cstheme="majorEastAsia"/>
                <w:color w:val="0000FF"/>
                <w:kern w:val="0"/>
                <w:sz w:val="18"/>
                <w:szCs w:val="18"/>
                <w:lang w:val="en-US" w:eastAsia="zh-CN"/>
              </w:rPr>
              <w:t>1</w:t>
            </w:r>
            <w:r>
              <w:rPr>
                <w:rFonts w:hint="eastAsia" w:asciiTheme="majorEastAsia" w:hAnsiTheme="majorEastAsia" w:eastAsiaTheme="majorEastAsia" w:cstheme="majorEastAsia"/>
                <w:color w:val="0000FF"/>
                <w:kern w:val="0"/>
                <w:sz w:val="18"/>
                <w:szCs w:val="18"/>
              </w:rPr>
              <w:t>年</w:t>
            </w:r>
            <w:r>
              <w:rPr>
                <w:rFonts w:hint="eastAsia" w:asciiTheme="majorEastAsia" w:hAnsiTheme="majorEastAsia" w:eastAsiaTheme="majorEastAsia" w:cstheme="majorEastAsia"/>
                <w:kern w:val="0"/>
                <w:sz w:val="18"/>
                <w:szCs w:val="18"/>
              </w:rPr>
              <w:t>，验收合格之日起至质保期届满且经甲方确认无任何质量问题时止。</w:t>
            </w:r>
          </w:p>
          <w:p>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Theme="majorEastAsia" w:hAnsiTheme="majorEastAsia" w:eastAsiaTheme="majorEastAsia" w:cstheme="majorEastAsia"/>
                <w:kern w:val="0"/>
                <w:sz w:val="18"/>
                <w:szCs w:val="18"/>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服务地点：广西中医药大学</w:t>
            </w:r>
            <w:r>
              <w:rPr>
                <w:rFonts w:hint="eastAsia" w:asciiTheme="majorEastAsia" w:hAnsiTheme="majorEastAsia" w:eastAsiaTheme="majorEastAsia" w:cstheme="majorEastAsia"/>
                <w:color w:val="000000" w:themeColor="text1"/>
                <w:sz w:val="18"/>
                <w:szCs w:val="18"/>
                <w:lang w:val="en-US" w:eastAsia="zh-CN"/>
                <w14:textFill>
                  <w14:solidFill>
                    <w14:schemeClr w14:val="tx1"/>
                  </w14:solidFill>
                </w14:textFill>
              </w:rPr>
              <w:t>明秀</w:t>
            </w:r>
            <w:r>
              <w:rPr>
                <w:rFonts w:hint="eastAsia" w:asciiTheme="majorEastAsia" w:hAnsiTheme="majorEastAsia" w:eastAsiaTheme="majorEastAsia" w:cstheme="majorEastAsia"/>
                <w:color w:val="000000" w:themeColor="text1"/>
                <w:sz w:val="18"/>
                <w:szCs w:val="18"/>
                <w14:textFill>
                  <w14:solidFill>
                    <w14:schemeClr w14:val="tx1"/>
                  </w14:solidFill>
                </w14:textFill>
              </w:rPr>
              <w:t>校区指定地点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181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Theme="majorEastAsia" w:hAnsiTheme="majorEastAsia" w:eastAsiaTheme="majorEastAsia" w:cstheme="majorEastAsia"/>
                <w:kern w:val="0"/>
                <w:sz w:val="18"/>
                <w:szCs w:val="18"/>
              </w:rPr>
            </w:pPr>
            <w:r>
              <w:rPr>
                <w:rFonts w:hint="eastAsia" w:asciiTheme="majorEastAsia" w:hAnsiTheme="majorEastAsia" w:eastAsiaTheme="majorEastAsia" w:cstheme="majorEastAsia"/>
                <w:kern w:val="0"/>
                <w:sz w:val="18"/>
                <w:szCs w:val="18"/>
              </w:rPr>
              <w:t>付款</w:t>
            </w:r>
            <w:r>
              <w:rPr>
                <w:rFonts w:hint="eastAsia" w:asciiTheme="majorEastAsia" w:hAnsiTheme="majorEastAsia" w:eastAsiaTheme="majorEastAsia" w:cstheme="majorEastAsia"/>
                <w:sz w:val="18"/>
                <w:szCs w:val="18"/>
              </w:rPr>
              <w:t>条件</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Theme="majorEastAsia" w:hAnsiTheme="majorEastAsia" w:eastAsiaTheme="majorEastAsia" w:cstheme="majorEastAsia"/>
                <w:kern w:val="0"/>
                <w:sz w:val="18"/>
                <w:szCs w:val="18"/>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一次性支付：本采购文件项下全部货物经</w:t>
            </w:r>
            <w:bookmarkStart w:id="0" w:name="_GoBack"/>
            <w:bookmarkEnd w:id="0"/>
            <w:r>
              <w:rPr>
                <w:rFonts w:hint="eastAsia" w:asciiTheme="majorEastAsia" w:hAnsiTheme="majorEastAsia" w:eastAsiaTheme="majorEastAsia" w:cstheme="majorEastAsia"/>
                <w:color w:val="000000" w:themeColor="text1"/>
                <w:sz w:val="18"/>
                <w:szCs w:val="18"/>
                <w14:textFill>
                  <w14:solidFill>
                    <w14:schemeClr w14:val="tx1"/>
                  </w14:solidFill>
                </w14:textFill>
              </w:rPr>
              <w:t xml:space="preserve">验收合格后 </w:t>
            </w:r>
            <w:r>
              <w:rPr>
                <w:rFonts w:hint="eastAsia" w:asciiTheme="majorEastAsia" w:hAnsiTheme="majorEastAsia" w:eastAsiaTheme="majorEastAsia" w:cstheme="majorEastAsia"/>
                <w:color w:val="000000" w:themeColor="text1"/>
                <w:sz w:val="18"/>
                <w:szCs w:val="18"/>
                <w:lang w:val="en-US" w:eastAsia="zh-CN"/>
                <w14:textFill>
                  <w14:solidFill>
                    <w14:schemeClr w14:val="tx1"/>
                  </w14:solidFill>
                </w14:textFill>
              </w:rPr>
              <w:t>15</w:t>
            </w:r>
            <w:r>
              <w:rPr>
                <w:rFonts w:hint="eastAsia" w:asciiTheme="majorEastAsia" w:hAnsiTheme="majorEastAsia" w:eastAsiaTheme="majorEastAsia" w:cstheme="majorEastAsia"/>
                <w:color w:val="000000" w:themeColor="text1"/>
                <w:sz w:val="18"/>
                <w:szCs w:val="18"/>
                <w14:textFill>
                  <w14:solidFill>
                    <w14:schemeClr w14:val="tx1"/>
                  </w14:solidFill>
                </w14:textFill>
              </w:rPr>
              <w:t>个工作日内</w:t>
            </w:r>
            <w:r>
              <w:rPr>
                <w:rFonts w:hint="eastAsia" w:asciiTheme="majorEastAsia" w:hAnsiTheme="majorEastAsia" w:eastAsiaTheme="majorEastAsia" w:cstheme="majorEastAsia"/>
                <w:color w:val="000000" w:themeColor="text1"/>
                <w:sz w:val="18"/>
                <w:szCs w:val="18"/>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18"/>
                <w:szCs w:val="18"/>
                <w:lang w:val="en-US" w:eastAsia="zh-CN"/>
                <w14:textFill>
                  <w14:solidFill>
                    <w14:schemeClr w14:val="tx1"/>
                  </w14:solidFill>
                </w14:textFill>
              </w:rPr>
              <w:t>因财政厅年底封账、学校法定假期等不可避免且不可克服的情形，付款时间相应顺延，顺延时间以实际影响时长为准</w:t>
            </w:r>
            <w:r>
              <w:rPr>
                <w:rFonts w:hint="eastAsia" w:asciiTheme="majorEastAsia" w:hAnsiTheme="majorEastAsia" w:eastAsiaTheme="majorEastAsia" w:cstheme="majorEastAsia"/>
                <w:color w:val="000000" w:themeColor="text1"/>
                <w:sz w:val="18"/>
                <w:szCs w:val="18"/>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18"/>
                <w:szCs w:val="18"/>
                <w14:textFill>
                  <w14:solidFill>
                    <w14:schemeClr w14:val="tx1"/>
                  </w14:solidFill>
                </w14:textFill>
              </w:rPr>
              <w:t>，采购人凭成交供应商开具的全额增值税普通发票向成交供应商支付全部合同价款。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9209" w:type="dxa"/>
            <w:gridSpan w:val="6"/>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Theme="majorEastAsia" w:hAnsiTheme="majorEastAsia" w:eastAsiaTheme="majorEastAsia" w:cstheme="majorEastAsia"/>
                <w:kern w:val="0"/>
                <w:sz w:val="18"/>
                <w:szCs w:val="18"/>
              </w:rPr>
            </w:pPr>
            <w:r>
              <w:rPr>
                <w:rFonts w:hint="eastAsia" w:asciiTheme="majorEastAsia" w:hAnsiTheme="majorEastAsia" w:eastAsiaTheme="majorEastAsia" w:cstheme="majorEastAsia"/>
                <w:b/>
                <w:kern w:val="0"/>
                <w:sz w:val="18"/>
                <w:szCs w:val="18"/>
              </w:rPr>
              <w:t>三、其他要求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3" w:hRule="atLeast"/>
          <w:jc w:val="center"/>
        </w:trPr>
        <w:tc>
          <w:tcPr>
            <w:tcW w:w="1813"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Theme="majorEastAsia" w:hAnsiTheme="majorEastAsia" w:eastAsiaTheme="majorEastAsia" w:cstheme="majorEastAsia"/>
                <w:kern w:val="0"/>
                <w:sz w:val="18"/>
                <w:szCs w:val="18"/>
              </w:rPr>
            </w:pPr>
          </w:p>
        </w:tc>
        <w:tc>
          <w:tcPr>
            <w:tcW w:w="7396" w:type="dxa"/>
            <w:gridSpan w:val="4"/>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color w:val="000000" w:themeColor="text1"/>
                <w:sz w:val="18"/>
                <w:szCs w:val="18"/>
                <w14:textFill>
                  <w14:solidFill>
                    <w14:schemeClr w14:val="tx1"/>
                  </w14:solidFill>
                </w14:textFill>
              </w:rPr>
            </w:pPr>
            <w:r>
              <w:rPr>
                <w:rFonts w:hint="eastAsia" w:asciiTheme="majorEastAsia" w:hAnsiTheme="majorEastAsia" w:eastAsiaTheme="majorEastAsia" w:cstheme="majorEastAsia"/>
                <w:color w:val="000000" w:themeColor="text1"/>
                <w:sz w:val="18"/>
                <w:szCs w:val="18"/>
                <w14:textFill>
                  <w14:solidFill>
                    <w14:schemeClr w14:val="tx1"/>
                  </w14:solidFill>
                </w14:textFill>
              </w:rPr>
              <w:t>本次报价须为人民币报价，包含产品价、运输费（含装卸费）、保险费、安装调试费、税费等费用。对于本文件中 明确列明必须报价的货物或服务，投标人应分别报价。对于本文件中未列明，而投标人认为必需的费用也需列入总报价。在合同实施时，采购人将不予支付中标人没有列入的项目费用，并认为此项目的费用已包括在投标总报价中。</w:t>
            </w:r>
          </w:p>
          <w:p>
            <w:pPr>
              <w:keepNext w:val="0"/>
              <w:keepLines w:val="0"/>
              <w:pageBreakBefore w:val="0"/>
              <w:kinsoku/>
              <w:wordWrap/>
              <w:overflowPunct/>
              <w:topLinePunct w:val="0"/>
              <w:bidi w:val="0"/>
              <w:snapToGrid/>
              <w:textAlignment w:val="auto"/>
              <w:rPr>
                <w:rFonts w:hint="eastAsia"/>
                <w:b/>
                <w:bCs/>
                <w:sz w:val="18"/>
                <w:szCs w:val="18"/>
                <w:lang w:val="en-US" w:eastAsia="zh-CN"/>
              </w:rPr>
            </w:pPr>
            <w:r>
              <w:rPr>
                <w:rFonts w:hint="eastAsia"/>
                <w:b/>
                <w:bCs/>
                <w:sz w:val="18"/>
                <w:szCs w:val="18"/>
                <w:lang w:val="en-US" w:eastAsia="zh-CN"/>
              </w:rPr>
              <w:t>验收</w:t>
            </w:r>
          </w:p>
          <w:p>
            <w:pPr>
              <w:keepNext w:val="0"/>
              <w:keepLines w:val="0"/>
              <w:pageBreakBefore w:val="0"/>
              <w:kinsoku/>
              <w:wordWrap/>
              <w:overflowPunct/>
              <w:topLinePunct w:val="0"/>
              <w:bidi w:val="0"/>
              <w:snapToGrid/>
              <w:textAlignment w:val="auto"/>
              <w:rPr>
                <w:rFonts w:hint="eastAsia"/>
                <w:sz w:val="18"/>
                <w:szCs w:val="18"/>
              </w:rPr>
            </w:pPr>
            <w:r>
              <w:rPr>
                <w:rFonts w:hint="eastAsia"/>
                <w:sz w:val="18"/>
                <w:szCs w:val="18"/>
              </w:rPr>
              <w:t>到货验收：货物运抵甲方指定地点后，甲方应依据本合同及反向竞价文件上的技术规格要求和国家有关质量标准及时进行验收。如发生所供货物与合同约定不符，甲方有权退货或要求乙方进行更换、补齐，因此造成逾期交货的，乙方应承担逾期交货的违约责任。乙方应在接到甲方要求后 10日内予以补救，所产生的费用及法律后果由乙方承担。</w:t>
            </w:r>
          </w:p>
          <w:p>
            <w:pPr>
              <w:keepNext w:val="0"/>
              <w:keepLines w:val="0"/>
              <w:pageBreakBefore w:val="0"/>
              <w:kinsoku/>
              <w:wordWrap/>
              <w:overflowPunct/>
              <w:topLinePunct w:val="0"/>
              <w:bidi w:val="0"/>
              <w:snapToGrid/>
              <w:textAlignment w:val="auto"/>
              <w:rPr>
                <w:rFonts w:hint="eastAsia"/>
                <w:sz w:val="18"/>
                <w:szCs w:val="18"/>
              </w:rPr>
            </w:pPr>
            <w:r>
              <w:rPr>
                <w:rFonts w:hint="eastAsia"/>
                <w:sz w:val="18"/>
                <w:szCs w:val="18"/>
              </w:rPr>
              <w:t>2、安装调试： 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keepNext w:val="0"/>
              <w:keepLines w:val="0"/>
              <w:pageBreakBefore w:val="0"/>
              <w:kinsoku/>
              <w:wordWrap/>
              <w:overflowPunct/>
              <w:topLinePunct w:val="0"/>
              <w:bidi w:val="0"/>
              <w:snapToGrid/>
              <w:textAlignment w:val="auto"/>
              <w:rPr>
                <w:rFonts w:hint="eastAsia"/>
                <w:sz w:val="18"/>
                <w:szCs w:val="18"/>
              </w:rPr>
            </w:pPr>
            <w:r>
              <w:rPr>
                <w:rFonts w:hint="eastAsia"/>
                <w:sz w:val="18"/>
                <w:szCs w:val="18"/>
              </w:rPr>
              <w:t>安装调试过程中，乙方应采取安全保障措施，保证人员安全。如因乙方原因造成人员伤亡和财产损失的，乙方应承担全部赔偿责任。</w:t>
            </w:r>
          </w:p>
          <w:p>
            <w:pPr>
              <w:keepNext w:val="0"/>
              <w:keepLines w:val="0"/>
              <w:pageBreakBefore w:val="0"/>
              <w:kinsoku/>
              <w:wordWrap/>
              <w:overflowPunct/>
              <w:topLinePunct w:val="0"/>
              <w:bidi w:val="0"/>
              <w:snapToGrid/>
              <w:textAlignment w:val="auto"/>
              <w:rPr>
                <w:rFonts w:hint="eastAsia"/>
                <w:sz w:val="18"/>
                <w:szCs w:val="18"/>
              </w:rPr>
            </w:pPr>
            <w:r>
              <w:rPr>
                <w:rFonts w:hint="eastAsia"/>
                <w:sz w:val="18"/>
                <w:szCs w:val="18"/>
              </w:rPr>
              <w:t>3、最终验收：货物经安装调试完成且符合技术要求后，甲方进行最终验收。验收时乙方必须在现场。货物符合合同约定的技术规范要求和验收标准的，甲方签署验收合格证明。如货物不符合合同约定的要求的，乙方应当在10日内采取措施消除缺陷后重新申请终验，并承担由此产生的费用。</w:t>
            </w:r>
          </w:p>
          <w:p>
            <w:pPr>
              <w:keepNext w:val="0"/>
              <w:keepLines w:val="0"/>
              <w:pageBreakBefore w:val="0"/>
              <w:kinsoku/>
              <w:wordWrap/>
              <w:overflowPunct/>
              <w:topLinePunct w:val="0"/>
              <w:bidi w:val="0"/>
              <w:snapToGrid/>
              <w:textAlignment w:val="auto"/>
              <w:rPr>
                <w:rFonts w:hint="eastAsia"/>
                <w:sz w:val="18"/>
                <w:szCs w:val="18"/>
              </w:rPr>
            </w:pPr>
            <w:r>
              <w:rPr>
                <w:rFonts w:hint="eastAsia"/>
              </w:rPr>
              <w:t>5</w:t>
            </w:r>
            <w:r>
              <w:rPr>
                <w:rFonts w:hint="eastAsia"/>
                <w:sz w:val="18"/>
                <w:szCs w:val="18"/>
              </w:rPr>
              <w:t>、货物毁损、灭失的风险，自货物最终验收合格之日起由甲方承担。</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b/>
                <w:bCs/>
                <w:kern w:val="0"/>
                <w:sz w:val="18"/>
                <w:szCs w:val="18"/>
              </w:rPr>
            </w:pPr>
            <w:r>
              <w:rPr>
                <w:rFonts w:hint="eastAsia" w:asciiTheme="majorEastAsia" w:hAnsiTheme="majorEastAsia" w:eastAsiaTheme="majorEastAsia" w:cstheme="majorEastAsia"/>
                <w:b/>
                <w:bCs/>
                <w:kern w:val="0"/>
                <w:sz w:val="18"/>
                <w:szCs w:val="18"/>
              </w:rPr>
              <w:t>违约责任</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（一）一般违约责任</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1、任何一方未履行本合同项下的任何一项条款均被视为违约。违约方应承担因自己的违约行为而给守约方造成的经济损失。</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2、如甲方无正当理由未按合同规定向乙方支付合同价款的，每延迟一天，甲方应向乙方支付相当于延迟付款额 3 ‰的违约金。</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 xml:space="preserve">3、因乙方其他违约行为导致甲方解除合同的，乙方应向甲方支付合同总价款 20 %的违约金，如造成甲方损失超过违约金的，超出部分由乙方继续承担赔偿责任。                 </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（二）其他违约责任</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1、本合同项下货物在交货、安装调试、验收及质保期等任何阶段内不符合合同约定的技术规范要求和验收标准的，甲方有权向乙方索赔并选择下列一项或多项补救措施：</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（1）由乙方采取措施消除设备缺陷或不符合合同之处，如果乙方不能及时消除缺陷，甲方有权自行消除缺陷或不符合合同之处，由此产生的一切费用均由乙方承担。</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2）由乙方在接到甲方通知后10日内用符合合同规定的规格、质量和性能要求的新零件、部件和设备更换有缺陷的设备或用新的技术资料替换有错误的技术资料或补供遗漏的设备或技术资料等，乙方应承担一切费用和风险并负担给甲方造成的全部损失。</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（3）根据货物的低劣程度、损坏程度以及甲方所遭受损失的数额，乙方必须降低货物的价格。</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（4）退货，乙方应退还甲方支付的全部合同款，同时应承担该货物的直接费用（运输、保险、检验、货款利息及银行手续费等）。</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2、甲方无正当理由拒收货物的，应向乙方偿付拒收货款总值20%的违约金。</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3、乙方逾期交付货物的，每逾期一日，应按逾期交货总额 3‰向甲方支付违约金。逾期超过约定日期 17日不能交货的，甲方有权解除本合同，并要求乙方支付合同总额 20 %的违约金。</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乙方未在约定时间内完成安装调试的，参照前款约定承担违约责任。</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4、乙方所交付的货物品种、型号、规格、技术参数、质量不符合合同规定及反向竞价文件规定标准的，甲方有权拒收该货物，乙方愿意更换货物但逾期交货的，按乙方逾期交货处理。乙方拒绝更换货物的，甲方可单方面解除合同，并要求乙方支付合同总值 20%的违约金，违约金不足以弥补甲方损失的，乙方还应负责赔偿。</w:t>
            </w:r>
          </w:p>
          <w:p>
            <w:pPr>
              <w:keepNext w:val="0"/>
              <w:keepLines w:val="0"/>
              <w:pageBreakBefore w:val="0"/>
              <w:kinsoku/>
              <w:wordWrap/>
              <w:overflowPunct/>
              <w:topLinePunct w:val="0"/>
              <w:bidi w:val="0"/>
              <w:snapToGrid/>
              <w:textAlignment w:val="auto"/>
              <w:rPr>
                <w:rFonts w:hint="eastAsia" w:asciiTheme="majorEastAsia" w:hAnsiTheme="majorEastAsia" w:eastAsiaTheme="majorEastAsia" w:cstheme="majorEastAsia"/>
                <w:kern w:val="0"/>
                <w:sz w:val="18"/>
                <w:szCs w:val="18"/>
                <w:lang w:eastAsia="zh-CN"/>
              </w:rPr>
            </w:pPr>
            <w:r>
              <w:rPr>
                <w:rFonts w:hint="eastAsia" w:asciiTheme="majorEastAsia" w:hAnsiTheme="majorEastAsia" w:eastAsiaTheme="majorEastAsia" w:cstheme="majorEastAsia"/>
                <w:kern w:val="0"/>
                <w:sz w:val="18"/>
                <w:szCs w:val="18"/>
                <w:lang w:eastAsia="zh-CN"/>
              </w:rPr>
              <w:t>5、乙方未能按约定要求履行保修义务的，每发生一次应向甲方支付 500元的违约金，同时，甲方有权委托第三方进行保修，所产生的费用由乙方承担。若因货物缺陷或乙方服务质量等问题造成甲方或任何人员人身、财产损害的，乙方应承担有关责任并作出相应赔偿。</w:t>
            </w:r>
          </w:p>
          <w:p>
            <w:pPr>
              <w:keepNext w:val="0"/>
              <w:keepLines w:val="0"/>
              <w:pageBreakBefore w:val="0"/>
              <w:kinsoku/>
              <w:wordWrap/>
              <w:overflowPunct/>
              <w:topLinePunct w:val="0"/>
              <w:bidi w:val="0"/>
              <w:snapToGrid/>
              <w:textAlignment w:val="auto"/>
              <w:rPr>
                <w:rFonts w:hint="default" w:asciiTheme="majorEastAsia" w:hAnsiTheme="majorEastAsia" w:eastAsiaTheme="majorEastAsia" w:cstheme="majorEastAsia"/>
                <w:kern w:val="0"/>
                <w:sz w:val="18"/>
                <w:szCs w:val="18"/>
                <w:lang w:val="en-US" w:eastAsia="zh-CN"/>
              </w:rPr>
            </w:pPr>
            <w:r>
              <w:rPr>
                <w:rFonts w:hint="eastAsia" w:asciiTheme="majorEastAsia" w:hAnsiTheme="majorEastAsia" w:eastAsiaTheme="majorEastAsia" w:cstheme="majorEastAsia"/>
                <w:kern w:val="0"/>
                <w:sz w:val="18"/>
                <w:szCs w:val="18"/>
                <w:lang w:val="en-US" w:eastAsia="zh-CN"/>
              </w:rPr>
              <w:t>6、质保金：一年以后无问题无息返还，总金额的5%。</w:t>
            </w:r>
          </w:p>
          <w:p>
            <w:pPr>
              <w:keepNext w:val="0"/>
              <w:keepLines w:val="0"/>
              <w:pageBreakBefore w:val="0"/>
              <w:kinsoku/>
              <w:wordWrap/>
              <w:overflowPunct/>
              <w:topLinePunct w:val="0"/>
              <w:bidi w:val="0"/>
              <w:snapToGrid/>
              <w:textAlignment w:val="auto"/>
              <w:rPr>
                <w:rFonts w:hint="eastAsia" w:ascii="Times New Roman" w:hAnsi="Times New Roman" w:eastAsia="宋体" w:cs="Times New Roman"/>
                <w:kern w:val="0"/>
                <w:sz w:val="20"/>
                <w:szCs w:val="20"/>
                <w:lang w:eastAsia="zh-CN"/>
              </w:rPr>
            </w:pPr>
            <w:r>
              <w:rPr>
                <w:rFonts w:hint="eastAsia" w:asciiTheme="majorEastAsia" w:hAnsiTheme="majorEastAsia" w:eastAsiaTheme="majorEastAsia" w:cstheme="majorEastAsia"/>
                <w:kern w:val="0"/>
                <w:sz w:val="18"/>
                <w:szCs w:val="18"/>
                <w:lang w:eastAsia="zh-CN"/>
              </w:rPr>
              <w:t xml:space="preserve"> </w:t>
            </w:r>
          </w:p>
        </w:tc>
      </w:tr>
    </w:tbl>
    <w:p>
      <w:pPr>
        <w:pStyle w:val="9"/>
        <w:keepNext w:val="0"/>
        <w:keepLines w:val="0"/>
        <w:pageBreakBefore w:val="0"/>
        <w:widowControl/>
        <w:kinsoku/>
        <w:wordWrap/>
        <w:overflowPunct/>
        <w:topLinePunct w:val="0"/>
        <w:bidi w:val="0"/>
        <w:snapToGrid/>
        <w:spacing w:line="555" w:lineRule="atLeast"/>
        <w:textAlignment w:val="auto"/>
        <w:rPr>
          <w:rStyle w:val="14"/>
          <w:rFonts w:hint="eastAsia" w:asciiTheme="majorEastAsia" w:hAnsiTheme="majorEastAsia" w:eastAsiaTheme="majorEastAsia" w:cstheme="majorEastAsia"/>
          <w:color w:val="333333"/>
          <w:sz w:val="18"/>
          <w:szCs w:val="18"/>
          <w:shd w:val="clear" w:color="auto" w:fill="FFFFFF"/>
          <w:lang w:eastAsia="zh-CN"/>
        </w:rPr>
      </w:pPr>
      <w:r>
        <w:rPr>
          <w:rStyle w:val="14"/>
          <w:rFonts w:hint="eastAsia" w:asciiTheme="majorEastAsia" w:hAnsiTheme="majorEastAsia" w:eastAsiaTheme="majorEastAsia" w:cstheme="majorEastAsia"/>
          <w:color w:val="333333"/>
          <w:sz w:val="18"/>
          <w:szCs w:val="18"/>
          <w:shd w:val="clear" w:color="auto" w:fill="FFFFFF"/>
          <w:lang w:eastAsia="zh-CN"/>
        </w:rPr>
        <w:drawing>
          <wp:inline distT="0" distB="0" distL="114300" distR="114300">
            <wp:extent cx="5319395" cy="4596765"/>
            <wp:effectExtent l="0" t="0" r="14605" b="13335"/>
            <wp:docPr id="1" name="图片 1" descr="防火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防火门"/>
                    <pic:cNvPicPr>
                      <a:picLocks noChangeAspect="1"/>
                    </pic:cNvPicPr>
                  </pic:nvPicPr>
                  <pic:blipFill>
                    <a:blip r:embed="rId5"/>
                    <a:stretch>
                      <a:fillRect/>
                    </a:stretch>
                  </pic:blipFill>
                  <pic:spPr>
                    <a:xfrm>
                      <a:off x="0" y="0"/>
                      <a:ext cx="5319395" cy="4596765"/>
                    </a:xfrm>
                    <a:prstGeom prst="rect">
                      <a:avLst/>
                    </a:prstGeom>
                  </pic:spPr>
                </pic:pic>
              </a:graphicData>
            </a:graphic>
          </wp:inline>
        </w:drawing>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4099594"/>
    </w:sdtPr>
    <w:sdtContent>
      <w:sdt>
        <w:sdtPr>
          <w:id w:val="171357217"/>
        </w:sdtPr>
        <w:sdtContent>
          <w:p>
            <w:pPr>
              <w:pStyle w:val="7"/>
              <w:jc w:val="center"/>
            </w:pP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p>
        </w:sdtContent>
      </w:sdt>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dhMzY4ZjllYTA3Mzg1NWY2ZDY5NDZkZGUzOTAwNDEifQ=="/>
  </w:docVars>
  <w:rsids>
    <w:rsidRoot w:val="52D653D6"/>
    <w:rsid w:val="00002994"/>
    <w:rsid w:val="000102D3"/>
    <w:rsid w:val="000122D9"/>
    <w:rsid w:val="0001736C"/>
    <w:rsid w:val="00021BD6"/>
    <w:rsid w:val="00024A4E"/>
    <w:rsid w:val="000408C1"/>
    <w:rsid w:val="00047C0E"/>
    <w:rsid w:val="00056B5E"/>
    <w:rsid w:val="000808B9"/>
    <w:rsid w:val="0008130F"/>
    <w:rsid w:val="00082409"/>
    <w:rsid w:val="00082EF6"/>
    <w:rsid w:val="00087E6F"/>
    <w:rsid w:val="00092BBF"/>
    <w:rsid w:val="000953D5"/>
    <w:rsid w:val="000A3D19"/>
    <w:rsid w:val="000A5D39"/>
    <w:rsid w:val="000C4E31"/>
    <w:rsid w:val="000E64E3"/>
    <w:rsid w:val="000F6927"/>
    <w:rsid w:val="0010348A"/>
    <w:rsid w:val="00110A81"/>
    <w:rsid w:val="00127AFC"/>
    <w:rsid w:val="00133620"/>
    <w:rsid w:val="00150216"/>
    <w:rsid w:val="00156346"/>
    <w:rsid w:val="0017414C"/>
    <w:rsid w:val="001B37D8"/>
    <w:rsid w:val="001C0A0B"/>
    <w:rsid w:val="001C5E3E"/>
    <w:rsid w:val="001D0CC4"/>
    <w:rsid w:val="001D3CF7"/>
    <w:rsid w:val="001D40D9"/>
    <w:rsid w:val="001D7525"/>
    <w:rsid w:val="001F1305"/>
    <w:rsid w:val="00204020"/>
    <w:rsid w:val="00213F4E"/>
    <w:rsid w:val="002310AC"/>
    <w:rsid w:val="00232C58"/>
    <w:rsid w:val="00253977"/>
    <w:rsid w:val="002562E1"/>
    <w:rsid w:val="00266758"/>
    <w:rsid w:val="00270F4D"/>
    <w:rsid w:val="0027639E"/>
    <w:rsid w:val="002A648D"/>
    <w:rsid w:val="002C48D1"/>
    <w:rsid w:val="00312577"/>
    <w:rsid w:val="00351A5E"/>
    <w:rsid w:val="003661FD"/>
    <w:rsid w:val="003D1DCB"/>
    <w:rsid w:val="003D7CA4"/>
    <w:rsid w:val="003E619F"/>
    <w:rsid w:val="00401437"/>
    <w:rsid w:val="004071AF"/>
    <w:rsid w:val="0040787D"/>
    <w:rsid w:val="004167FA"/>
    <w:rsid w:val="00431E0E"/>
    <w:rsid w:val="00435453"/>
    <w:rsid w:val="00474A3B"/>
    <w:rsid w:val="0048288D"/>
    <w:rsid w:val="0048565F"/>
    <w:rsid w:val="004D446A"/>
    <w:rsid w:val="004D6593"/>
    <w:rsid w:val="004E3B7E"/>
    <w:rsid w:val="004E5F3B"/>
    <w:rsid w:val="005166BE"/>
    <w:rsid w:val="0052249A"/>
    <w:rsid w:val="00527033"/>
    <w:rsid w:val="00547DDF"/>
    <w:rsid w:val="0055287B"/>
    <w:rsid w:val="005650B2"/>
    <w:rsid w:val="005C6D2A"/>
    <w:rsid w:val="005E1921"/>
    <w:rsid w:val="005E4818"/>
    <w:rsid w:val="005E4C14"/>
    <w:rsid w:val="005E4ECB"/>
    <w:rsid w:val="00603052"/>
    <w:rsid w:val="006128DF"/>
    <w:rsid w:val="00624C0D"/>
    <w:rsid w:val="00651D11"/>
    <w:rsid w:val="00660F53"/>
    <w:rsid w:val="00681F69"/>
    <w:rsid w:val="00691732"/>
    <w:rsid w:val="006A4493"/>
    <w:rsid w:val="006C62A8"/>
    <w:rsid w:val="006D028E"/>
    <w:rsid w:val="006D1F21"/>
    <w:rsid w:val="006E0179"/>
    <w:rsid w:val="006E297E"/>
    <w:rsid w:val="006E3CF1"/>
    <w:rsid w:val="006E6C19"/>
    <w:rsid w:val="00710C8F"/>
    <w:rsid w:val="00713BA1"/>
    <w:rsid w:val="007270EA"/>
    <w:rsid w:val="00733E15"/>
    <w:rsid w:val="0075181E"/>
    <w:rsid w:val="00780464"/>
    <w:rsid w:val="007828C7"/>
    <w:rsid w:val="007942C7"/>
    <w:rsid w:val="007A4C72"/>
    <w:rsid w:val="007B21E3"/>
    <w:rsid w:val="007B4626"/>
    <w:rsid w:val="007C5205"/>
    <w:rsid w:val="00801CC6"/>
    <w:rsid w:val="0080519D"/>
    <w:rsid w:val="00830BFD"/>
    <w:rsid w:val="00835CD1"/>
    <w:rsid w:val="00853064"/>
    <w:rsid w:val="00857045"/>
    <w:rsid w:val="00871030"/>
    <w:rsid w:val="0087617E"/>
    <w:rsid w:val="008B090F"/>
    <w:rsid w:val="008D14DD"/>
    <w:rsid w:val="008D28D6"/>
    <w:rsid w:val="008E356A"/>
    <w:rsid w:val="008E6872"/>
    <w:rsid w:val="008F2BB9"/>
    <w:rsid w:val="00921188"/>
    <w:rsid w:val="009254E6"/>
    <w:rsid w:val="00933947"/>
    <w:rsid w:val="00954DF6"/>
    <w:rsid w:val="0097172A"/>
    <w:rsid w:val="00973544"/>
    <w:rsid w:val="00976B0B"/>
    <w:rsid w:val="00980C1A"/>
    <w:rsid w:val="00991123"/>
    <w:rsid w:val="009A0046"/>
    <w:rsid w:val="009A0E5A"/>
    <w:rsid w:val="009A4990"/>
    <w:rsid w:val="009E24CA"/>
    <w:rsid w:val="009E40CD"/>
    <w:rsid w:val="009E469C"/>
    <w:rsid w:val="00A173CF"/>
    <w:rsid w:val="00A25973"/>
    <w:rsid w:val="00A53111"/>
    <w:rsid w:val="00A82D07"/>
    <w:rsid w:val="00A86CD0"/>
    <w:rsid w:val="00A91344"/>
    <w:rsid w:val="00AC4CAC"/>
    <w:rsid w:val="00AC7DAE"/>
    <w:rsid w:val="00AE3912"/>
    <w:rsid w:val="00B07709"/>
    <w:rsid w:val="00B11EDA"/>
    <w:rsid w:val="00B12D00"/>
    <w:rsid w:val="00B17646"/>
    <w:rsid w:val="00B25E09"/>
    <w:rsid w:val="00B81F9C"/>
    <w:rsid w:val="00B86469"/>
    <w:rsid w:val="00B95E1D"/>
    <w:rsid w:val="00B96A3E"/>
    <w:rsid w:val="00BA474A"/>
    <w:rsid w:val="00BA4D04"/>
    <w:rsid w:val="00BB058F"/>
    <w:rsid w:val="00BB208F"/>
    <w:rsid w:val="00BD4895"/>
    <w:rsid w:val="00BD6001"/>
    <w:rsid w:val="00BE601F"/>
    <w:rsid w:val="00BF406C"/>
    <w:rsid w:val="00BF531C"/>
    <w:rsid w:val="00C14009"/>
    <w:rsid w:val="00C30E63"/>
    <w:rsid w:val="00C445BC"/>
    <w:rsid w:val="00C671A9"/>
    <w:rsid w:val="00C713CC"/>
    <w:rsid w:val="00C75936"/>
    <w:rsid w:val="00C81107"/>
    <w:rsid w:val="00C92655"/>
    <w:rsid w:val="00CB26C2"/>
    <w:rsid w:val="00CE11B5"/>
    <w:rsid w:val="00CF4136"/>
    <w:rsid w:val="00CF77EF"/>
    <w:rsid w:val="00D13A3C"/>
    <w:rsid w:val="00D20611"/>
    <w:rsid w:val="00D24B5D"/>
    <w:rsid w:val="00D36B28"/>
    <w:rsid w:val="00D44D05"/>
    <w:rsid w:val="00D457A7"/>
    <w:rsid w:val="00D71E77"/>
    <w:rsid w:val="00D84986"/>
    <w:rsid w:val="00D9050C"/>
    <w:rsid w:val="00DC72FA"/>
    <w:rsid w:val="00DE3942"/>
    <w:rsid w:val="00DE62C0"/>
    <w:rsid w:val="00DF3090"/>
    <w:rsid w:val="00DF3C24"/>
    <w:rsid w:val="00DF428B"/>
    <w:rsid w:val="00E0409A"/>
    <w:rsid w:val="00E11FB9"/>
    <w:rsid w:val="00E12ED2"/>
    <w:rsid w:val="00E25AAB"/>
    <w:rsid w:val="00E44071"/>
    <w:rsid w:val="00E4439D"/>
    <w:rsid w:val="00E72E28"/>
    <w:rsid w:val="00EB7ADE"/>
    <w:rsid w:val="00EC277A"/>
    <w:rsid w:val="00EE293F"/>
    <w:rsid w:val="00EE355B"/>
    <w:rsid w:val="00EE6160"/>
    <w:rsid w:val="00EF299F"/>
    <w:rsid w:val="00EF6487"/>
    <w:rsid w:val="00F20CDC"/>
    <w:rsid w:val="00F25E3C"/>
    <w:rsid w:val="00F26972"/>
    <w:rsid w:val="00F304C0"/>
    <w:rsid w:val="00F330CB"/>
    <w:rsid w:val="00F348C2"/>
    <w:rsid w:val="00F5062C"/>
    <w:rsid w:val="00F56375"/>
    <w:rsid w:val="00F73016"/>
    <w:rsid w:val="00F92D4B"/>
    <w:rsid w:val="00F94F4A"/>
    <w:rsid w:val="00FB02B1"/>
    <w:rsid w:val="00FB3DFA"/>
    <w:rsid w:val="00FD620A"/>
    <w:rsid w:val="0163247B"/>
    <w:rsid w:val="050B0AD1"/>
    <w:rsid w:val="052E1184"/>
    <w:rsid w:val="06856661"/>
    <w:rsid w:val="09287D76"/>
    <w:rsid w:val="09E37FB3"/>
    <w:rsid w:val="0A0F5BB5"/>
    <w:rsid w:val="0C93343B"/>
    <w:rsid w:val="0CF34325"/>
    <w:rsid w:val="0E6F05D1"/>
    <w:rsid w:val="0F074FAA"/>
    <w:rsid w:val="13A35EFE"/>
    <w:rsid w:val="15333719"/>
    <w:rsid w:val="157A4E35"/>
    <w:rsid w:val="15A6480D"/>
    <w:rsid w:val="1608351E"/>
    <w:rsid w:val="18F57AAB"/>
    <w:rsid w:val="191305D6"/>
    <w:rsid w:val="19771562"/>
    <w:rsid w:val="1DF613D3"/>
    <w:rsid w:val="1E38372E"/>
    <w:rsid w:val="20A0716E"/>
    <w:rsid w:val="21DD4464"/>
    <w:rsid w:val="21E9568B"/>
    <w:rsid w:val="253908EB"/>
    <w:rsid w:val="253B2249"/>
    <w:rsid w:val="25455165"/>
    <w:rsid w:val="26A022EB"/>
    <w:rsid w:val="278E005D"/>
    <w:rsid w:val="288B42E2"/>
    <w:rsid w:val="28AB0346"/>
    <w:rsid w:val="2FEC2936"/>
    <w:rsid w:val="30175C86"/>
    <w:rsid w:val="3038292B"/>
    <w:rsid w:val="317057B1"/>
    <w:rsid w:val="31C679AA"/>
    <w:rsid w:val="33C45A33"/>
    <w:rsid w:val="33F53549"/>
    <w:rsid w:val="35977693"/>
    <w:rsid w:val="375810A4"/>
    <w:rsid w:val="380D0BCE"/>
    <w:rsid w:val="38290730"/>
    <w:rsid w:val="393E2E94"/>
    <w:rsid w:val="3BDC4EF4"/>
    <w:rsid w:val="41842ED7"/>
    <w:rsid w:val="41E80EEB"/>
    <w:rsid w:val="42901BD7"/>
    <w:rsid w:val="44AD530E"/>
    <w:rsid w:val="44E060C2"/>
    <w:rsid w:val="46F34946"/>
    <w:rsid w:val="4708796F"/>
    <w:rsid w:val="47283916"/>
    <w:rsid w:val="480D1A37"/>
    <w:rsid w:val="4A8C26DF"/>
    <w:rsid w:val="508F329F"/>
    <w:rsid w:val="52264F17"/>
    <w:rsid w:val="527B4618"/>
    <w:rsid w:val="52B813CD"/>
    <w:rsid w:val="52D653D6"/>
    <w:rsid w:val="553920BD"/>
    <w:rsid w:val="586B0020"/>
    <w:rsid w:val="58950377"/>
    <w:rsid w:val="58E50BA2"/>
    <w:rsid w:val="598B674F"/>
    <w:rsid w:val="5A690D4F"/>
    <w:rsid w:val="5B8E2CD1"/>
    <w:rsid w:val="5C4E46A0"/>
    <w:rsid w:val="5D5E44AA"/>
    <w:rsid w:val="60BD1DF5"/>
    <w:rsid w:val="60DA3731"/>
    <w:rsid w:val="62303826"/>
    <w:rsid w:val="628F7431"/>
    <w:rsid w:val="63370493"/>
    <w:rsid w:val="65B80637"/>
    <w:rsid w:val="66FB5425"/>
    <w:rsid w:val="67D866A0"/>
    <w:rsid w:val="69D11AAC"/>
    <w:rsid w:val="6C28527F"/>
    <w:rsid w:val="6D6123F1"/>
    <w:rsid w:val="71F63F33"/>
    <w:rsid w:val="7357203A"/>
    <w:rsid w:val="75287D2D"/>
    <w:rsid w:val="75352A78"/>
    <w:rsid w:val="77B11D16"/>
    <w:rsid w:val="77FA7033"/>
    <w:rsid w:val="7835786E"/>
    <w:rsid w:val="7B60237F"/>
    <w:rsid w:val="7C2B051C"/>
    <w:rsid w:val="7C5066F4"/>
    <w:rsid w:val="7CDA58DC"/>
    <w:rsid w:val="7DD76CAF"/>
    <w:rsid w:val="7E215319"/>
    <w:rsid w:val="7F8D211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uiPriority="0" w:name="HTML Preformatted"/>
    <w:lsdException w:uiPriority="0" w:name="HTML Sample"/>
    <w:lsdException w:uiPriority="0" w:name="HTML Typewriter"/>
    <w:lsdException w:qFormat="1" w:unhideWhenUsed="0" w:uiPriority="0" w:semiHidden="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jc w:val="left"/>
      <w:outlineLvl w:val="1"/>
    </w:pPr>
    <w:rPr>
      <w:rFonts w:hint="eastAsia" w:ascii="宋体" w:hAnsi="宋体" w:eastAsia="宋体" w:cs="Times New Roman"/>
      <w:kern w:val="0"/>
      <w:sz w:val="24"/>
    </w:rPr>
  </w:style>
  <w:style w:type="paragraph" w:styleId="3">
    <w:name w:val="heading 4"/>
    <w:basedOn w:val="1"/>
    <w:next w:val="1"/>
    <w:unhideWhenUsed/>
    <w:qFormat/>
    <w:uiPriority w:val="0"/>
    <w:pPr>
      <w:jc w:val="left"/>
      <w:outlineLvl w:val="3"/>
    </w:pPr>
    <w:rPr>
      <w:rFonts w:hint="eastAsia" w:ascii="宋体" w:hAnsi="宋体" w:eastAsia="宋体" w:cs="Times New Roman"/>
      <w:kern w:val="0"/>
      <w:sz w:val="24"/>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4"/>
    <w:unhideWhenUsed/>
    <w:qFormat/>
    <w:uiPriority w:val="0"/>
    <w:pPr>
      <w:jc w:val="left"/>
    </w:pPr>
  </w:style>
  <w:style w:type="paragraph" w:styleId="5">
    <w:name w:val="Plain Text"/>
    <w:basedOn w:val="1"/>
    <w:link w:val="31"/>
    <w:qFormat/>
    <w:uiPriority w:val="0"/>
    <w:rPr>
      <w:rFonts w:ascii="宋体" w:hAnsi="Courier New" w:eastAsia="宋体" w:cs="Courier New"/>
      <w:kern w:val="0"/>
      <w:sz w:val="20"/>
      <w:szCs w:val="21"/>
    </w:rPr>
  </w:style>
  <w:style w:type="paragraph" w:styleId="6">
    <w:name w:val="Balloon Text"/>
    <w:basedOn w:val="1"/>
    <w:link w:val="36"/>
    <w:unhideWhenUsed/>
    <w:qFormat/>
    <w:uiPriority w:val="0"/>
    <w:rPr>
      <w:sz w:val="18"/>
      <w:szCs w:val="18"/>
    </w:rPr>
  </w:style>
  <w:style w:type="paragraph" w:styleId="7">
    <w:name w:val="footer"/>
    <w:basedOn w:val="1"/>
    <w:link w:val="29"/>
    <w:qFormat/>
    <w:uiPriority w:val="99"/>
    <w:pPr>
      <w:tabs>
        <w:tab w:val="center" w:pos="4153"/>
        <w:tab w:val="right" w:pos="8306"/>
      </w:tabs>
      <w:snapToGrid w:val="0"/>
      <w:jc w:val="left"/>
    </w:pPr>
    <w:rPr>
      <w:sz w:val="18"/>
      <w:szCs w:val="18"/>
    </w:rPr>
  </w:style>
  <w:style w:type="paragraph" w:styleId="8">
    <w:name w:val="header"/>
    <w:basedOn w:val="1"/>
    <w:link w:val="28"/>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99"/>
    <w:pPr>
      <w:jc w:val="left"/>
    </w:pPr>
    <w:rPr>
      <w:rFonts w:cs="Times New Roman"/>
      <w:kern w:val="0"/>
      <w:sz w:val="24"/>
    </w:rPr>
  </w:style>
  <w:style w:type="paragraph" w:styleId="10">
    <w:name w:val="annotation subject"/>
    <w:basedOn w:val="4"/>
    <w:next w:val="4"/>
    <w:link w:val="35"/>
    <w:unhideWhenUsed/>
    <w:qFormat/>
    <w:uiPriority w:val="0"/>
    <w:rPr>
      <w:b/>
      <w:bCs/>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FollowedHyperlink"/>
    <w:basedOn w:val="13"/>
    <w:qFormat/>
    <w:uiPriority w:val="0"/>
    <w:rPr>
      <w:color w:val="333333"/>
      <w:u w:val="none"/>
    </w:rPr>
  </w:style>
  <w:style w:type="character" w:styleId="16">
    <w:name w:val="Emphasis"/>
    <w:basedOn w:val="13"/>
    <w:qFormat/>
    <w:uiPriority w:val="0"/>
  </w:style>
  <w:style w:type="character" w:styleId="17">
    <w:name w:val="HTML Definition"/>
    <w:basedOn w:val="13"/>
    <w:qFormat/>
    <w:uiPriority w:val="0"/>
  </w:style>
  <w:style w:type="character" w:styleId="18">
    <w:name w:val="HTML Acronym"/>
    <w:basedOn w:val="13"/>
    <w:qFormat/>
    <w:uiPriority w:val="0"/>
  </w:style>
  <w:style w:type="character" w:styleId="19">
    <w:name w:val="HTML Variable"/>
    <w:basedOn w:val="13"/>
    <w:qFormat/>
    <w:uiPriority w:val="0"/>
  </w:style>
  <w:style w:type="character" w:styleId="20">
    <w:name w:val="Hyperlink"/>
    <w:basedOn w:val="13"/>
    <w:qFormat/>
    <w:uiPriority w:val="0"/>
    <w:rPr>
      <w:color w:val="333333"/>
      <w:u w:val="none"/>
    </w:rPr>
  </w:style>
  <w:style w:type="character" w:styleId="21">
    <w:name w:val="HTML Code"/>
    <w:basedOn w:val="13"/>
    <w:qFormat/>
    <w:uiPriority w:val="0"/>
    <w:rPr>
      <w:rFonts w:ascii="Courier New" w:hAnsi="Courier New"/>
      <w:sz w:val="20"/>
    </w:rPr>
  </w:style>
  <w:style w:type="character" w:styleId="22">
    <w:name w:val="annotation reference"/>
    <w:basedOn w:val="13"/>
    <w:unhideWhenUsed/>
    <w:qFormat/>
    <w:uiPriority w:val="0"/>
    <w:rPr>
      <w:sz w:val="21"/>
      <w:szCs w:val="21"/>
    </w:rPr>
  </w:style>
  <w:style w:type="character" w:styleId="23">
    <w:name w:val="HTML Cite"/>
    <w:basedOn w:val="13"/>
    <w:qFormat/>
    <w:uiPriority w:val="0"/>
  </w:style>
  <w:style w:type="character" w:customStyle="1" w:styleId="24">
    <w:name w:val="current"/>
    <w:basedOn w:val="13"/>
    <w:qFormat/>
    <w:uiPriority w:val="0"/>
    <w:rPr>
      <w:b/>
      <w:bCs/>
      <w:color w:val="FFFFFF"/>
      <w:bdr w:val="single" w:color="7D6543" w:sz="6" w:space="0"/>
      <w:shd w:val="clear" w:color="auto" w:fill="7D6543"/>
    </w:rPr>
  </w:style>
  <w:style w:type="character" w:customStyle="1" w:styleId="25">
    <w:name w:val="disabled"/>
    <w:basedOn w:val="13"/>
    <w:qFormat/>
    <w:uiPriority w:val="0"/>
    <w:rPr>
      <w:color w:val="999999"/>
      <w:bdr w:val="single" w:color="C5C5C5" w:sz="6" w:space="0"/>
    </w:rPr>
  </w:style>
  <w:style w:type="character" w:customStyle="1" w:styleId="26">
    <w:name w:val="font11"/>
    <w:basedOn w:val="13"/>
    <w:qFormat/>
    <w:uiPriority w:val="0"/>
    <w:rPr>
      <w:rFonts w:hint="eastAsia" w:ascii="宋体" w:hAnsi="宋体" w:eastAsia="宋体" w:cs="宋体"/>
      <w:color w:val="000000"/>
      <w:sz w:val="24"/>
      <w:szCs w:val="24"/>
      <w:u w:val="none"/>
    </w:rPr>
  </w:style>
  <w:style w:type="character" w:customStyle="1" w:styleId="27">
    <w:name w:val="font31"/>
    <w:basedOn w:val="13"/>
    <w:qFormat/>
    <w:uiPriority w:val="0"/>
    <w:rPr>
      <w:rFonts w:hint="eastAsia" w:ascii="宋体" w:hAnsi="宋体" w:eastAsia="宋体" w:cs="宋体"/>
      <w:color w:val="000000"/>
      <w:sz w:val="24"/>
      <w:szCs w:val="24"/>
      <w:u w:val="none"/>
    </w:rPr>
  </w:style>
  <w:style w:type="character" w:customStyle="1" w:styleId="28">
    <w:name w:val="页眉 字符"/>
    <w:basedOn w:val="13"/>
    <w:link w:val="8"/>
    <w:qFormat/>
    <w:uiPriority w:val="99"/>
    <w:rPr>
      <w:rFonts w:asciiTheme="minorHAnsi" w:hAnsiTheme="minorHAnsi" w:eastAsiaTheme="minorEastAsia" w:cstheme="minorBidi"/>
      <w:kern w:val="2"/>
      <w:sz w:val="18"/>
      <w:szCs w:val="18"/>
    </w:rPr>
  </w:style>
  <w:style w:type="character" w:customStyle="1" w:styleId="29">
    <w:name w:val="页脚 字符"/>
    <w:basedOn w:val="13"/>
    <w:link w:val="7"/>
    <w:qFormat/>
    <w:uiPriority w:val="99"/>
    <w:rPr>
      <w:rFonts w:asciiTheme="minorHAnsi" w:hAnsiTheme="minorHAnsi" w:eastAsiaTheme="minorEastAsia" w:cstheme="minorBidi"/>
      <w:kern w:val="2"/>
      <w:sz w:val="18"/>
      <w:szCs w:val="18"/>
    </w:rPr>
  </w:style>
  <w:style w:type="paragraph" w:customStyle="1" w:styleId="30">
    <w:name w:val="列出段落1"/>
    <w:basedOn w:val="1"/>
    <w:unhideWhenUsed/>
    <w:qFormat/>
    <w:uiPriority w:val="99"/>
    <w:pPr>
      <w:ind w:firstLine="420" w:firstLineChars="200"/>
    </w:pPr>
  </w:style>
  <w:style w:type="character" w:customStyle="1" w:styleId="31">
    <w:name w:val="纯文本 字符"/>
    <w:basedOn w:val="13"/>
    <w:link w:val="5"/>
    <w:qFormat/>
    <w:uiPriority w:val="0"/>
    <w:rPr>
      <w:rFonts w:ascii="宋体" w:hAnsi="Courier New" w:cs="Courier New"/>
      <w:szCs w:val="21"/>
    </w:rPr>
  </w:style>
  <w:style w:type="paragraph" w:customStyle="1" w:styleId="32">
    <w:name w:val="无间隔1"/>
    <w:link w:val="33"/>
    <w:qFormat/>
    <w:uiPriority w:val="1"/>
    <w:rPr>
      <w:rFonts w:asciiTheme="minorHAnsi" w:hAnsiTheme="minorHAnsi" w:eastAsiaTheme="minorEastAsia" w:cstheme="minorBidi"/>
      <w:sz w:val="22"/>
      <w:szCs w:val="22"/>
      <w:lang w:val="en-US" w:eastAsia="zh-CN" w:bidi="ar-SA"/>
    </w:rPr>
  </w:style>
  <w:style w:type="character" w:customStyle="1" w:styleId="33">
    <w:name w:val="无间隔 Char"/>
    <w:basedOn w:val="13"/>
    <w:link w:val="32"/>
    <w:qFormat/>
    <w:uiPriority w:val="1"/>
    <w:rPr>
      <w:rFonts w:asciiTheme="minorHAnsi" w:hAnsiTheme="minorHAnsi" w:eastAsiaTheme="minorEastAsia" w:cstheme="minorBidi"/>
      <w:sz w:val="22"/>
      <w:szCs w:val="22"/>
    </w:rPr>
  </w:style>
  <w:style w:type="character" w:customStyle="1" w:styleId="34">
    <w:name w:val="批注文字 字符"/>
    <w:basedOn w:val="13"/>
    <w:link w:val="4"/>
    <w:semiHidden/>
    <w:qFormat/>
    <w:uiPriority w:val="0"/>
    <w:rPr>
      <w:rFonts w:asciiTheme="minorHAnsi" w:hAnsiTheme="minorHAnsi" w:eastAsiaTheme="minorEastAsia" w:cstheme="minorBidi"/>
      <w:kern w:val="2"/>
      <w:sz w:val="21"/>
      <w:szCs w:val="24"/>
    </w:rPr>
  </w:style>
  <w:style w:type="character" w:customStyle="1" w:styleId="35">
    <w:name w:val="批注主题 字符"/>
    <w:basedOn w:val="34"/>
    <w:link w:val="10"/>
    <w:semiHidden/>
    <w:qFormat/>
    <w:uiPriority w:val="0"/>
    <w:rPr>
      <w:rFonts w:asciiTheme="minorHAnsi" w:hAnsiTheme="minorHAnsi" w:eastAsiaTheme="minorEastAsia" w:cstheme="minorBidi"/>
      <w:b/>
      <w:bCs/>
      <w:kern w:val="2"/>
      <w:sz w:val="21"/>
      <w:szCs w:val="24"/>
    </w:rPr>
  </w:style>
  <w:style w:type="character" w:customStyle="1" w:styleId="36">
    <w:name w:val="批注框文本 字符"/>
    <w:basedOn w:val="13"/>
    <w:link w:val="6"/>
    <w:semiHidden/>
    <w:qFormat/>
    <w:uiPriority w:val="0"/>
    <w:rPr>
      <w:rFonts w:asciiTheme="minorHAnsi" w:hAnsiTheme="minorHAnsi" w:eastAsiaTheme="minorEastAsia" w:cstheme="minorBidi"/>
      <w:kern w:val="2"/>
      <w:sz w:val="18"/>
      <w:szCs w:val="18"/>
    </w:rPr>
  </w:style>
  <w:style w:type="paragraph" w:customStyle="1" w:styleId="37">
    <w:name w:val="列出段落11"/>
    <w:basedOn w:val="1"/>
    <w:qFormat/>
    <w:uiPriority w:val="34"/>
    <w:pPr>
      <w:ind w:firstLine="420" w:firstLine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781FD-E884-4FF0-AACD-D4E238F5082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Pages>
  <Words>2043</Words>
  <Characters>2144</Characters>
  <Lines>9</Lines>
  <Paragraphs>2</Paragraphs>
  <TotalTime>0</TotalTime>
  <ScaleCrop>false</ScaleCrop>
  <LinksUpToDate>false</LinksUpToDate>
  <CharactersWithSpaces>2193</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2024-03-20T00:13:00Z</dcterms:created>
  <dc:creator>Administrator</dc:creator>
  <cp:lastModifiedBy>Delete。</cp:lastModifiedBy>
  <cp:lastPrinted>2024-11-05T08:26:00Z</cp:lastPrinted>
  <dcterms:modified xsi:type="dcterms:W3CDTF">2024-12-12T01:24:30Z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19CE6C4B7F8A43C7981FA066754F118C</vt:lpwstr>
  </property>
</Properties>
</file>