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napToGrid/>
        <w:spacing w:line="400" w:lineRule="exact"/>
        <w:textAlignment w:val="auto"/>
        <w:rPr>
          <w:rFonts w:ascii="宋体" w:hAnsi="宋体"/>
          <w:b/>
          <w:sz w:val="28"/>
          <w:szCs w:val="28"/>
        </w:rPr>
      </w:pPr>
      <w:r>
        <w:rPr>
          <w:rFonts w:hint="eastAsia" w:ascii="宋体" w:hAnsi="宋体"/>
          <w:b/>
          <w:sz w:val="28"/>
          <w:szCs w:val="28"/>
        </w:rPr>
        <w:t>附件3</w:t>
      </w:r>
    </w:p>
    <w:p>
      <w:pPr>
        <w:keepNext w:val="0"/>
        <w:keepLines w:val="0"/>
        <w:pageBreakBefore w:val="0"/>
        <w:kinsoku/>
        <w:wordWrap/>
        <w:overflowPunct/>
        <w:topLinePunct w:val="0"/>
        <w:bidi w:val="0"/>
        <w:snapToGrid/>
        <w:spacing w:line="400" w:lineRule="exact"/>
        <w:jc w:val="center"/>
        <w:textAlignment w:val="auto"/>
        <w:rPr>
          <w:rFonts w:ascii="宋体" w:hAnsi="宋体"/>
          <w:b/>
          <w:sz w:val="28"/>
          <w:szCs w:val="28"/>
        </w:rPr>
      </w:pPr>
      <w:r>
        <w:rPr>
          <w:rFonts w:hint="eastAsia" w:ascii="宋体" w:hAnsi="宋体"/>
          <w:b/>
          <w:sz w:val="28"/>
          <w:szCs w:val="28"/>
        </w:rPr>
        <w:t>采购需求</w:t>
      </w:r>
    </w:p>
    <w:tbl>
      <w:tblPr>
        <w:tblStyle w:val="11"/>
        <w:tblW w:w="92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30"/>
        <w:gridCol w:w="983"/>
        <w:gridCol w:w="948"/>
        <w:gridCol w:w="920"/>
        <w:gridCol w:w="1471"/>
        <w:gridCol w:w="405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9209"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left"/>
              <w:textAlignment w:val="auto"/>
              <w:rPr>
                <w:rFonts w:ascii="宋体" w:hAnsi="宋体"/>
                <w:b/>
                <w:szCs w:val="21"/>
              </w:rPr>
            </w:pPr>
            <w:r>
              <w:rPr>
                <w:rFonts w:hint="eastAsia" w:ascii="宋体" w:hAnsi="宋体"/>
                <w:b/>
                <w:szCs w:val="21"/>
              </w:rPr>
              <w:t>一、物品参数需求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83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b/>
                <w:szCs w:val="21"/>
              </w:rPr>
            </w:pPr>
            <w:r>
              <w:rPr>
                <w:rFonts w:hint="eastAsia" w:ascii="宋体" w:hAnsi="宋体"/>
                <w:b/>
                <w:szCs w:val="21"/>
              </w:rPr>
              <w:t>序号</w:t>
            </w:r>
          </w:p>
        </w:tc>
        <w:tc>
          <w:tcPr>
            <w:tcW w:w="193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b/>
                <w:szCs w:val="21"/>
              </w:rPr>
            </w:pPr>
            <w:r>
              <w:rPr>
                <w:rFonts w:hint="eastAsia" w:ascii="宋体" w:hAnsi="宋体"/>
                <w:b/>
                <w:szCs w:val="21"/>
              </w:rPr>
              <w:t>采购物品名称</w:t>
            </w:r>
          </w:p>
        </w:tc>
        <w:tc>
          <w:tcPr>
            <w:tcW w:w="9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b/>
                <w:szCs w:val="21"/>
              </w:rPr>
            </w:pPr>
            <w:r>
              <w:rPr>
                <w:rFonts w:hint="eastAsia" w:ascii="宋体" w:hAnsi="宋体"/>
                <w:b/>
                <w:szCs w:val="21"/>
              </w:rPr>
              <w:t>品牌</w:t>
            </w:r>
          </w:p>
        </w:tc>
        <w:tc>
          <w:tcPr>
            <w:tcW w:w="14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b/>
                <w:szCs w:val="21"/>
              </w:rPr>
            </w:pPr>
            <w:r>
              <w:rPr>
                <w:rFonts w:hint="eastAsia" w:ascii="宋体" w:hAnsi="宋体"/>
                <w:b/>
                <w:szCs w:val="21"/>
              </w:rPr>
              <w:t>数量</w:t>
            </w:r>
          </w:p>
          <w:p>
            <w:pPr>
              <w:keepNext w:val="0"/>
              <w:keepLines w:val="0"/>
              <w:pageBreakBefore w:val="0"/>
              <w:kinsoku/>
              <w:wordWrap/>
              <w:overflowPunct/>
              <w:topLinePunct w:val="0"/>
              <w:bidi w:val="0"/>
              <w:snapToGrid/>
              <w:spacing w:line="360" w:lineRule="auto"/>
              <w:jc w:val="center"/>
              <w:textAlignment w:val="auto"/>
              <w:rPr>
                <w:rFonts w:ascii="宋体" w:hAnsi="宋体"/>
                <w:b/>
                <w:szCs w:val="21"/>
              </w:rPr>
            </w:pPr>
            <w:r>
              <w:rPr>
                <w:rFonts w:hint="eastAsia" w:ascii="宋体" w:hAnsi="宋体"/>
                <w:b/>
                <w:szCs w:val="21"/>
              </w:rPr>
              <w:t>单位</w:t>
            </w:r>
          </w:p>
        </w:tc>
        <w:tc>
          <w:tcPr>
            <w:tcW w:w="40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b/>
                <w:szCs w:val="21"/>
              </w:rPr>
            </w:pPr>
            <w:r>
              <w:rPr>
                <w:rFonts w:hint="eastAsia" w:ascii="宋体" w:hAnsi="宋体"/>
                <w:b/>
                <w:szCs w:val="21"/>
              </w:rPr>
              <w:t>项目要求及物品参数需求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7" w:hRule="atLeast"/>
          <w:jc w:val="center"/>
        </w:trPr>
        <w:tc>
          <w:tcPr>
            <w:tcW w:w="83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szCs w:val="21"/>
              </w:rPr>
            </w:pPr>
            <w:r>
              <w:rPr>
                <w:rFonts w:hint="eastAsia" w:ascii="宋体" w:hAnsi="宋体"/>
                <w:szCs w:val="21"/>
              </w:rPr>
              <w:t>1</w:t>
            </w:r>
          </w:p>
        </w:tc>
        <w:tc>
          <w:tcPr>
            <w:tcW w:w="193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240" w:lineRule="auto"/>
              <w:jc w:val="center"/>
              <w:textAlignment w:val="auto"/>
              <w:rPr>
                <w:rFonts w:hint="default" w:ascii="宋体" w:hAnsi="宋体" w:cs="宋体"/>
                <w:kern w:val="0"/>
                <w:szCs w:val="21"/>
                <w:lang w:val="en-US"/>
              </w:rPr>
            </w:pPr>
            <w:r>
              <w:rPr>
                <w:rFonts w:hint="eastAsia" w:ascii="仿宋" w:hAnsi="仿宋" w:eastAsia="仿宋" w:cs="仿宋"/>
                <w:color w:val="333333"/>
                <w:kern w:val="0"/>
                <w:sz w:val="22"/>
                <w:u w:val="none"/>
                <w:lang w:val="en-US" w:eastAsia="zh-CN"/>
              </w:rPr>
              <w:t>广西中医药大学明秀校区5KG干粉灭火器、灭火器箱</w:t>
            </w:r>
          </w:p>
        </w:tc>
        <w:tc>
          <w:tcPr>
            <w:tcW w:w="9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cs="宋体" w:eastAsiaTheme="minorEastAsia"/>
                <w:kern w:val="0"/>
                <w:szCs w:val="21"/>
                <w:lang w:val="en-US" w:eastAsia="zh-CN"/>
              </w:rPr>
            </w:pPr>
            <w:r>
              <w:rPr>
                <w:rFonts w:hint="eastAsia" w:ascii="宋体" w:hAnsi="宋体" w:cs="宋体"/>
                <w:kern w:val="0"/>
                <w:szCs w:val="21"/>
                <w:lang w:val="en-US" w:eastAsia="zh-CN"/>
              </w:rPr>
              <w:t>-</w:t>
            </w:r>
          </w:p>
        </w:tc>
        <w:tc>
          <w:tcPr>
            <w:tcW w:w="14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hint="default" w:ascii="宋体" w:hAnsi="宋体" w:cs="宋体" w:eastAsiaTheme="minorEastAsia"/>
                <w:kern w:val="0"/>
                <w:szCs w:val="21"/>
                <w:lang w:val="en-US" w:eastAsia="zh-CN"/>
              </w:rPr>
            </w:pPr>
            <w:r>
              <w:rPr>
                <w:rFonts w:hint="eastAsia" w:ascii="宋体" w:hAnsi="宋体" w:cs="宋体"/>
                <w:kern w:val="0"/>
                <w:szCs w:val="21"/>
                <w:lang w:val="en-US" w:eastAsia="zh-CN"/>
              </w:rPr>
              <w:t xml:space="preserve"> 灭火器2000具、灭火器箱1200个</w:t>
            </w:r>
          </w:p>
        </w:tc>
        <w:tc>
          <w:tcPr>
            <w:tcW w:w="40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textAlignment w:val="auto"/>
              <w:rPr>
                <w:rFonts w:hint="default" w:eastAsia="仿宋"/>
                <w:lang w:val="en-US" w:eastAsia="zh-CN"/>
              </w:rPr>
            </w:pPr>
            <w:r>
              <w:rPr>
                <w:rFonts w:hint="eastAsia" w:eastAsia="仿宋"/>
                <w:lang w:val="en-US" w:eastAsia="zh-CN"/>
              </w:rPr>
              <w:t>一、参考</w:t>
            </w:r>
            <w:r>
              <w:rPr>
                <w:rFonts w:hint="default" w:eastAsia="仿宋"/>
                <w:lang w:val="en-US" w:eastAsia="zh-CN"/>
              </w:rPr>
              <w:t>品牌：桂安  .规格型号：MFZ/ABC5</w:t>
            </w:r>
          </w:p>
          <w:p>
            <w:pPr>
              <w:keepNext w:val="0"/>
              <w:keepLines w:val="0"/>
              <w:pageBreakBefore w:val="0"/>
              <w:kinsoku/>
              <w:wordWrap/>
              <w:overflowPunct/>
              <w:topLinePunct w:val="0"/>
              <w:bidi w:val="0"/>
              <w:snapToGrid/>
              <w:textAlignment w:val="auto"/>
              <w:rPr>
                <w:rFonts w:hint="default" w:eastAsia="仿宋"/>
                <w:lang w:val="en-US" w:eastAsia="zh-CN"/>
              </w:rPr>
            </w:pPr>
            <w:r>
              <w:rPr>
                <w:rFonts w:hint="default" w:eastAsia="仿宋"/>
                <w:lang w:val="en-US" w:eastAsia="zh-CN"/>
              </w:rPr>
              <w:t>▲2.灭火剂的名称及型号规格：干粉灭火剂 ABC-NH4H2PO4 （75%）+（NH4 ）SO4（15%）</w:t>
            </w:r>
          </w:p>
          <w:p>
            <w:pPr>
              <w:keepNext w:val="0"/>
              <w:keepLines w:val="0"/>
              <w:pageBreakBefore w:val="0"/>
              <w:kinsoku/>
              <w:wordWrap/>
              <w:overflowPunct/>
              <w:topLinePunct w:val="0"/>
              <w:bidi w:val="0"/>
              <w:snapToGrid/>
              <w:textAlignment w:val="auto"/>
              <w:rPr>
                <w:rFonts w:hint="default" w:eastAsia="仿宋"/>
                <w:lang w:val="en-US" w:eastAsia="zh-CN"/>
              </w:rPr>
            </w:pPr>
            <w:r>
              <w:rPr>
                <w:rFonts w:hint="default" w:eastAsia="仿宋"/>
                <w:lang w:val="en-US" w:eastAsia="zh-CN"/>
              </w:rPr>
              <w:t>▲3.药剂静含量：5±0.10kg ▲4.灭火器总重量： ≥7.8kg</w:t>
            </w:r>
          </w:p>
          <w:p>
            <w:pPr>
              <w:keepNext w:val="0"/>
              <w:keepLines w:val="0"/>
              <w:pageBreakBefore w:val="0"/>
              <w:kinsoku/>
              <w:wordWrap/>
              <w:overflowPunct/>
              <w:topLinePunct w:val="0"/>
              <w:bidi w:val="0"/>
              <w:snapToGrid/>
              <w:textAlignment w:val="auto"/>
              <w:rPr>
                <w:rFonts w:hint="default" w:eastAsia="仿宋"/>
                <w:lang w:val="en-US" w:eastAsia="zh-CN"/>
              </w:rPr>
            </w:pPr>
            <w:r>
              <w:rPr>
                <w:rFonts w:hint="default" w:eastAsia="仿宋"/>
                <w:lang w:val="en-US" w:eastAsia="zh-CN"/>
              </w:rPr>
              <w:t>5.20℃±5℃有效喷射时间 S： ≥13 20℃±5℃喷射滞后时间 S: ≤5</w:t>
            </w:r>
          </w:p>
          <w:p>
            <w:pPr>
              <w:keepNext w:val="0"/>
              <w:keepLines w:val="0"/>
              <w:pageBreakBefore w:val="0"/>
              <w:kinsoku/>
              <w:wordWrap/>
              <w:overflowPunct/>
              <w:topLinePunct w:val="0"/>
              <w:bidi w:val="0"/>
              <w:snapToGrid/>
              <w:textAlignment w:val="auto"/>
              <w:rPr>
                <w:rFonts w:hint="default" w:eastAsia="仿宋"/>
                <w:lang w:val="en-US" w:eastAsia="zh-CN"/>
              </w:rPr>
            </w:pPr>
            <w:r>
              <w:rPr>
                <w:rFonts w:hint="default" w:eastAsia="仿宋"/>
                <w:lang w:val="en-US" w:eastAsia="zh-CN"/>
              </w:rPr>
              <w:t>20℃±5℃喷射剩余率 % ： ≤15 喷射距离 m : ≥3.5</w:t>
            </w:r>
          </w:p>
          <w:p>
            <w:pPr>
              <w:keepNext w:val="0"/>
              <w:keepLines w:val="0"/>
              <w:pageBreakBefore w:val="0"/>
              <w:kinsoku/>
              <w:wordWrap/>
              <w:overflowPunct/>
              <w:topLinePunct w:val="0"/>
              <w:bidi w:val="0"/>
              <w:snapToGrid/>
              <w:textAlignment w:val="auto"/>
              <w:rPr>
                <w:rFonts w:hint="default" w:eastAsia="仿宋"/>
                <w:lang w:val="en-US" w:eastAsia="zh-CN"/>
              </w:rPr>
            </w:pPr>
            <w:r>
              <w:rPr>
                <w:rFonts w:hint="default" w:eastAsia="仿宋"/>
                <w:lang w:val="en-US" w:eastAsia="zh-CN"/>
              </w:rPr>
              <w:t>▲6.筒体材料：碳钢   筒体壁≥1.38mm</w:t>
            </w:r>
          </w:p>
          <w:p>
            <w:pPr>
              <w:keepNext w:val="0"/>
              <w:keepLines w:val="0"/>
              <w:pageBreakBefore w:val="0"/>
              <w:kinsoku/>
              <w:wordWrap/>
              <w:overflowPunct/>
              <w:topLinePunct w:val="0"/>
              <w:bidi w:val="0"/>
              <w:snapToGrid/>
              <w:textAlignment w:val="auto"/>
              <w:rPr>
                <w:rFonts w:hint="default" w:eastAsia="仿宋"/>
                <w:lang w:val="en-US" w:eastAsia="zh-CN"/>
              </w:rPr>
            </w:pPr>
            <w:r>
              <w:rPr>
                <w:rFonts w:hint="default" w:eastAsia="仿宋"/>
                <w:lang w:val="en-US" w:eastAsia="zh-CN"/>
              </w:rPr>
              <w:t>▲7.喷管总长度 mm : ≥510mm</w:t>
            </w:r>
          </w:p>
          <w:p>
            <w:pPr>
              <w:keepNext w:val="0"/>
              <w:keepLines w:val="0"/>
              <w:pageBreakBefore w:val="0"/>
              <w:kinsoku/>
              <w:wordWrap/>
              <w:overflowPunct/>
              <w:topLinePunct w:val="0"/>
              <w:bidi w:val="0"/>
              <w:snapToGrid/>
              <w:textAlignment w:val="auto"/>
              <w:rPr>
                <w:rFonts w:hint="default" w:eastAsia="仿宋"/>
                <w:lang w:val="en-US" w:eastAsia="zh-CN"/>
              </w:rPr>
            </w:pPr>
            <w:r>
              <w:rPr>
                <w:rFonts w:hint="default" w:eastAsia="仿宋"/>
                <w:lang w:val="en-US" w:eastAsia="zh-CN"/>
              </w:rPr>
              <w:t>▲8.产品执行标准：GB4351.1-2005《手提式灭火器 第 一部分》；CNCA-C18-03:2014  CCCF-MHSB-06</w:t>
            </w:r>
          </w:p>
          <w:p>
            <w:pPr>
              <w:keepNext w:val="0"/>
              <w:keepLines w:val="0"/>
              <w:pageBreakBefore w:val="0"/>
              <w:kinsoku/>
              <w:wordWrap/>
              <w:overflowPunct/>
              <w:topLinePunct w:val="0"/>
              <w:bidi w:val="0"/>
              <w:snapToGrid/>
              <w:textAlignment w:val="auto"/>
              <w:rPr>
                <w:rFonts w:hint="default" w:eastAsia="仿宋"/>
                <w:lang w:val="en-US" w:eastAsia="zh-CN"/>
              </w:rPr>
            </w:pPr>
            <w:r>
              <w:rPr>
                <w:rFonts w:hint="default" w:eastAsia="仿宋"/>
                <w:lang w:val="en-US" w:eastAsia="zh-CN"/>
              </w:rPr>
              <w:t>其他要求：▲1.必须具有中国国家强制性产品认证证书 及国家消防装备质量监督检验中心颁发的产品检验报 告，所有产品身份条码、产品流向均可以在中国消防产 品信息网查询。</w:t>
            </w:r>
          </w:p>
          <w:p>
            <w:pPr>
              <w:keepNext w:val="0"/>
              <w:keepLines w:val="0"/>
              <w:pageBreakBefore w:val="0"/>
              <w:kinsoku/>
              <w:wordWrap/>
              <w:overflowPunct/>
              <w:topLinePunct w:val="0"/>
              <w:bidi w:val="0"/>
              <w:snapToGrid/>
              <w:textAlignment w:val="auto"/>
              <w:rPr>
                <w:rFonts w:hint="default" w:eastAsia="仿宋"/>
                <w:lang w:val="en-US" w:eastAsia="zh-CN"/>
              </w:rPr>
            </w:pPr>
            <w:r>
              <w:rPr>
                <w:rFonts w:hint="default" w:eastAsia="仿宋"/>
                <w:lang w:val="en-US" w:eastAsia="zh-CN"/>
              </w:rPr>
              <w:t>▲2.其他要求.按采购人指定地点更换、安装、调 试等，以满足项目需求为准，费用供应商自负。</w:t>
            </w:r>
          </w:p>
          <w:p>
            <w:pPr>
              <w:keepNext w:val="0"/>
              <w:keepLines w:val="0"/>
              <w:pageBreakBefore w:val="0"/>
              <w:kinsoku/>
              <w:wordWrap/>
              <w:overflowPunct/>
              <w:topLinePunct w:val="0"/>
              <w:bidi w:val="0"/>
              <w:snapToGrid/>
              <w:textAlignment w:val="auto"/>
              <w:rPr>
                <w:rFonts w:hint="default" w:eastAsia="仿宋"/>
                <w:lang w:val="en-US" w:eastAsia="zh-CN"/>
              </w:rPr>
            </w:pPr>
            <w:r>
              <w:rPr>
                <w:rFonts w:hint="eastAsia" w:eastAsia="仿宋"/>
                <w:lang w:val="en-US" w:eastAsia="zh-CN"/>
              </w:rPr>
              <w:t>二、</w:t>
            </w:r>
            <w:r>
              <w:rPr>
                <w:rFonts w:hint="default" w:eastAsia="仿宋"/>
                <w:lang w:val="en-US" w:eastAsia="zh-CN"/>
              </w:rPr>
              <w:t>品牌：不限  规格型号：XMDF5-2</w:t>
            </w:r>
          </w:p>
          <w:p>
            <w:pPr>
              <w:keepNext w:val="0"/>
              <w:keepLines w:val="0"/>
              <w:pageBreakBefore w:val="0"/>
              <w:kinsoku/>
              <w:wordWrap/>
              <w:overflowPunct/>
              <w:topLinePunct w:val="0"/>
              <w:bidi w:val="0"/>
              <w:snapToGrid/>
              <w:textAlignment w:val="auto"/>
              <w:rPr>
                <w:rFonts w:hint="default" w:eastAsia="仿宋"/>
                <w:lang w:val="en-US" w:eastAsia="zh-CN"/>
              </w:rPr>
            </w:pPr>
            <w:r>
              <w:rPr>
                <w:rFonts w:hint="default" w:eastAsia="仿宋"/>
                <w:lang w:val="en-US" w:eastAsia="zh-CN"/>
              </w:rPr>
              <w:t>▲2.材质：薄钢板  板材厚度≥0.8mm ▲3.箱体净重量： ≥5.5kg</w:t>
            </w:r>
          </w:p>
          <w:p>
            <w:pPr>
              <w:keepNext w:val="0"/>
              <w:keepLines w:val="0"/>
              <w:pageBreakBefore w:val="0"/>
              <w:kinsoku/>
              <w:wordWrap/>
              <w:overflowPunct/>
              <w:topLinePunct w:val="0"/>
              <w:bidi w:val="0"/>
              <w:snapToGrid/>
              <w:textAlignment w:val="auto"/>
              <w:rPr>
                <w:rFonts w:hint="default" w:eastAsia="仿宋"/>
                <w:lang w:val="en-US" w:eastAsia="zh-CN"/>
              </w:rPr>
            </w:pPr>
            <w:r>
              <w:rPr>
                <w:rFonts w:hint="default" w:eastAsia="仿宋"/>
                <w:lang w:val="en-US" w:eastAsia="zh-CN"/>
              </w:rPr>
              <w:t>▲安装要求：按采购人指定地点更换、安装、调试等， 以满足项目需求为准，费用供应商自负。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3" w:hRule="atLeast"/>
          <w:jc w:val="center"/>
        </w:trPr>
        <w:tc>
          <w:tcPr>
            <w:tcW w:w="83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szCs w:val="21"/>
              </w:rPr>
            </w:pPr>
          </w:p>
        </w:tc>
        <w:tc>
          <w:tcPr>
            <w:tcW w:w="193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360" w:lineRule="auto"/>
              <w:jc w:val="center"/>
              <w:textAlignment w:val="auto"/>
              <w:rPr>
                <w:rFonts w:ascii="宋体" w:hAnsi="宋体" w:eastAsia="宋体" w:cs="宋体"/>
                <w:color w:val="000000" w:themeColor="text1"/>
                <w:kern w:val="0"/>
                <w:szCs w:val="21"/>
                <w14:textFill>
                  <w14:solidFill>
                    <w14:schemeClr w14:val="tx1"/>
                  </w14:solidFill>
                </w14:textFill>
              </w:rPr>
            </w:pPr>
          </w:p>
        </w:tc>
        <w:tc>
          <w:tcPr>
            <w:tcW w:w="9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cs="宋体"/>
                <w:kern w:val="0"/>
                <w:szCs w:val="21"/>
              </w:rPr>
            </w:pPr>
          </w:p>
        </w:tc>
        <w:tc>
          <w:tcPr>
            <w:tcW w:w="14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cs="宋体"/>
                <w:kern w:val="0"/>
                <w:szCs w:val="21"/>
              </w:rPr>
            </w:pPr>
          </w:p>
        </w:tc>
        <w:tc>
          <w:tcPr>
            <w:tcW w:w="40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240" w:lineRule="atLeast"/>
              <w:jc w:val="left"/>
              <w:textAlignment w:val="auto"/>
              <w:rPr>
                <w:rFonts w:asciiTheme="minorEastAsia" w:hAnsiTheme="minorEastAsia" w:cstheme="minorEastAsia"/>
                <w:kern w:val="0"/>
                <w:sz w:val="16"/>
                <w:szCs w:val="16"/>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9209"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tabs>
                <w:tab w:val="left" w:pos="1820"/>
              </w:tabs>
              <w:kinsoku/>
              <w:wordWrap/>
              <w:overflowPunct/>
              <w:topLinePunct w:val="0"/>
              <w:bidi w:val="0"/>
              <w:snapToGrid/>
              <w:spacing w:line="360" w:lineRule="auto"/>
              <w:textAlignment w:val="auto"/>
              <w:rPr>
                <w:rFonts w:ascii="宋体" w:hAnsi="宋体" w:cs="宋体"/>
                <w:kern w:val="0"/>
                <w:szCs w:val="21"/>
              </w:rPr>
            </w:pPr>
            <w:r>
              <w:rPr>
                <w:rFonts w:hint="eastAsia" w:ascii="宋体" w:hAnsi="宋体" w:cs="宋体"/>
                <w:kern w:val="0"/>
                <w:szCs w:val="21"/>
              </w:rPr>
              <w:t>二、商务需求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1" w:hRule="atLeast"/>
          <w:jc w:val="center"/>
        </w:trPr>
        <w:tc>
          <w:tcPr>
            <w:tcW w:w="181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Theme="majorEastAsia" w:hAnsiTheme="majorEastAsia" w:eastAsiaTheme="majorEastAsia" w:cstheme="majorEastAsia"/>
                <w:kern w:val="0"/>
                <w:sz w:val="18"/>
                <w:szCs w:val="18"/>
              </w:rPr>
            </w:pPr>
            <w:r>
              <w:rPr>
                <w:rFonts w:hint="eastAsia" w:asciiTheme="majorEastAsia" w:hAnsiTheme="majorEastAsia" w:eastAsiaTheme="majorEastAsia" w:cstheme="majorEastAsia"/>
                <w:sz w:val="18"/>
                <w:szCs w:val="18"/>
              </w:rPr>
              <w:t>服务期限及地点</w:t>
            </w:r>
          </w:p>
        </w:tc>
        <w:tc>
          <w:tcPr>
            <w:tcW w:w="7396"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质保期：</w:t>
            </w:r>
            <w:r>
              <w:rPr>
                <w:rFonts w:hint="eastAsia" w:asciiTheme="majorEastAsia" w:hAnsiTheme="majorEastAsia" w:eastAsiaTheme="majorEastAsia" w:cstheme="majorEastAsia"/>
                <w:color w:val="0000FF"/>
                <w:kern w:val="0"/>
                <w:sz w:val="18"/>
                <w:szCs w:val="18"/>
              </w:rPr>
              <w:t>质保期为</w:t>
            </w:r>
            <w:r>
              <w:rPr>
                <w:rFonts w:hint="eastAsia" w:asciiTheme="majorEastAsia" w:hAnsiTheme="majorEastAsia" w:eastAsiaTheme="majorEastAsia" w:cstheme="majorEastAsia"/>
                <w:color w:val="0000FF"/>
                <w:kern w:val="0"/>
                <w:sz w:val="18"/>
                <w:szCs w:val="18"/>
                <w:lang w:val="en-US" w:eastAsia="zh-CN"/>
              </w:rPr>
              <w:t>1</w:t>
            </w:r>
            <w:r>
              <w:rPr>
                <w:rFonts w:hint="eastAsia" w:asciiTheme="majorEastAsia" w:hAnsiTheme="majorEastAsia" w:eastAsiaTheme="majorEastAsia" w:cstheme="majorEastAsia"/>
                <w:color w:val="0000FF"/>
                <w:kern w:val="0"/>
                <w:sz w:val="18"/>
                <w:szCs w:val="18"/>
              </w:rPr>
              <w:t>年</w:t>
            </w:r>
            <w:r>
              <w:rPr>
                <w:rFonts w:hint="eastAsia" w:asciiTheme="majorEastAsia" w:hAnsiTheme="majorEastAsia" w:eastAsiaTheme="majorEastAsia" w:cstheme="majorEastAsia"/>
                <w:kern w:val="0"/>
                <w:sz w:val="18"/>
                <w:szCs w:val="18"/>
              </w:rPr>
              <w:t>，验收合格之日起至质保期届满且经甲方确认无任何质量问题时止。</w:t>
            </w:r>
          </w:p>
          <w:p>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Theme="majorEastAsia" w:hAnsiTheme="majorEastAsia" w:eastAsiaTheme="majorEastAsia" w:cstheme="majorEastAsia"/>
                <w:kern w:val="0"/>
                <w:sz w:val="18"/>
                <w:szCs w:val="18"/>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服务地点：广西中医药大学</w:t>
            </w:r>
            <w:r>
              <w:rPr>
                <w:rFonts w:hint="eastAsia" w:asciiTheme="majorEastAsia" w:hAnsiTheme="majorEastAsia" w:eastAsiaTheme="majorEastAsia" w:cstheme="majorEastAsia"/>
                <w:color w:val="000000" w:themeColor="text1"/>
                <w:sz w:val="18"/>
                <w:szCs w:val="18"/>
                <w:lang w:val="en-US" w:eastAsia="zh-CN"/>
                <w14:textFill>
                  <w14:solidFill>
                    <w14:schemeClr w14:val="tx1"/>
                  </w14:solidFill>
                </w14:textFill>
              </w:rPr>
              <w:t>明秀</w:t>
            </w:r>
            <w:r>
              <w:rPr>
                <w:rFonts w:hint="eastAsia" w:asciiTheme="majorEastAsia" w:hAnsiTheme="majorEastAsia" w:eastAsiaTheme="majorEastAsia" w:cstheme="majorEastAsia"/>
                <w:color w:val="000000" w:themeColor="text1"/>
                <w:sz w:val="18"/>
                <w:szCs w:val="18"/>
                <w14:textFill>
                  <w14:solidFill>
                    <w14:schemeClr w14:val="tx1"/>
                  </w14:solidFill>
                </w14:textFill>
              </w:rPr>
              <w:t>校区指定地点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181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Theme="majorEastAsia" w:hAnsiTheme="majorEastAsia" w:eastAsiaTheme="majorEastAsia" w:cstheme="majorEastAsia"/>
                <w:kern w:val="0"/>
                <w:sz w:val="18"/>
                <w:szCs w:val="18"/>
              </w:rPr>
            </w:pPr>
            <w:r>
              <w:rPr>
                <w:rFonts w:hint="eastAsia" w:asciiTheme="majorEastAsia" w:hAnsiTheme="majorEastAsia" w:eastAsiaTheme="majorEastAsia" w:cstheme="majorEastAsia"/>
                <w:kern w:val="0"/>
                <w:sz w:val="18"/>
                <w:szCs w:val="18"/>
              </w:rPr>
              <w:t>付款</w:t>
            </w:r>
            <w:r>
              <w:rPr>
                <w:rFonts w:hint="eastAsia" w:asciiTheme="majorEastAsia" w:hAnsiTheme="majorEastAsia" w:eastAsiaTheme="majorEastAsia" w:cstheme="majorEastAsia"/>
                <w:sz w:val="18"/>
                <w:szCs w:val="18"/>
              </w:rPr>
              <w:t>条件</w:t>
            </w:r>
          </w:p>
        </w:tc>
        <w:tc>
          <w:tcPr>
            <w:tcW w:w="7396"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Theme="majorEastAsia" w:hAnsiTheme="majorEastAsia" w:eastAsiaTheme="majorEastAsia" w:cstheme="majorEastAsia"/>
                <w:kern w:val="0"/>
                <w:sz w:val="18"/>
                <w:szCs w:val="18"/>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一次性支付：本采购文件项下全部货物经</w:t>
            </w:r>
            <w:bookmarkStart w:id="0" w:name="_GoBack"/>
            <w:bookmarkEnd w:id="0"/>
            <w:r>
              <w:rPr>
                <w:rFonts w:hint="eastAsia" w:asciiTheme="majorEastAsia" w:hAnsiTheme="majorEastAsia" w:eastAsiaTheme="majorEastAsia" w:cstheme="majorEastAsia"/>
                <w:color w:val="000000" w:themeColor="text1"/>
                <w:sz w:val="18"/>
                <w:szCs w:val="18"/>
                <w14:textFill>
                  <w14:solidFill>
                    <w14:schemeClr w14:val="tx1"/>
                  </w14:solidFill>
                </w14:textFill>
              </w:rPr>
              <w:t xml:space="preserve">验收合格后 </w:t>
            </w:r>
            <w:r>
              <w:rPr>
                <w:rFonts w:hint="eastAsia" w:asciiTheme="majorEastAsia" w:hAnsiTheme="majorEastAsia" w:eastAsiaTheme="majorEastAsia" w:cstheme="majorEastAsia"/>
                <w:color w:val="000000" w:themeColor="text1"/>
                <w:sz w:val="18"/>
                <w:szCs w:val="18"/>
                <w:lang w:val="en-US" w:eastAsia="zh-CN"/>
                <w14:textFill>
                  <w14:solidFill>
                    <w14:schemeClr w14:val="tx1"/>
                  </w14:solidFill>
                </w14:textFill>
              </w:rPr>
              <w:t>15</w:t>
            </w:r>
            <w:r>
              <w:rPr>
                <w:rFonts w:hint="eastAsia" w:asciiTheme="majorEastAsia" w:hAnsiTheme="majorEastAsia" w:eastAsiaTheme="majorEastAsia" w:cstheme="majorEastAsia"/>
                <w:color w:val="000000" w:themeColor="text1"/>
                <w:sz w:val="18"/>
                <w:szCs w:val="18"/>
                <w14:textFill>
                  <w14:solidFill>
                    <w14:schemeClr w14:val="tx1"/>
                  </w14:solidFill>
                </w14:textFill>
              </w:rPr>
              <w:t>个工作日内</w:t>
            </w:r>
            <w:r>
              <w:rPr>
                <w:rFonts w:hint="eastAsia" w:asciiTheme="majorEastAsia" w:hAnsiTheme="majorEastAsia" w:eastAsiaTheme="majorEastAsia" w:cstheme="majorEastAsia"/>
                <w:color w:val="000000" w:themeColor="text1"/>
                <w:sz w:val="18"/>
                <w:szCs w:val="18"/>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18"/>
                <w:szCs w:val="18"/>
                <w:lang w:val="en-US" w:eastAsia="zh-CN"/>
                <w14:textFill>
                  <w14:solidFill>
                    <w14:schemeClr w14:val="tx1"/>
                  </w14:solidFill>
                </w14:textFill>
              </w:rPr>
              <w:t>因财政厅年底封账、学校法定假期等不可避免且不可克服的情形，付款时间相应顺延，顺延时间以实际影响时长为准</w:t>
            </w:r>
            <w:r>
              <w:rPr>
                <w:rFonts w:hint="eastAsia" w:asciiTheme="majorEastAsia" w:hAnsiTheme="majorEastAsia" w:eastAsiaTheme="majorEastAsia" w:cstheme="majorEastAsia"/>
                <w:color w:val="000000" w:themeColor="text1"/>
                <w:sz w:val="18"/>
                <w:szCs w:val="18"/>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18"/>
                <w:szCs w:val="18"/>
                <w14:textFill>
                  <w14:solidFill>
                    <w14:schemeClr w14:val="tx1"/>
                  </w14:solidFill>
                </w14:textFill>
              </w:rPr>
              <w:t>，采购人凭成交供应商开具的全额增值税普通发票向成交供应商支付全部合同价款。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9209"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Theme="majorEastAsia" w:hAnsiTheme="majorEastAsia" w:eastAsiaTheme="majorEastAsia" w:cstheme="majorEastAsia"/>
                <w:kern w:val="0"/>
                <w:sz w:val="18"/>
                <w:szCs w:val="18"/>
              </w:rPr>
            </w:pPr>
            <w:r>
              <w:rPr>
                <w:rFonts w:hint="eastAsia" w:asciiTheme="majorEastAsia" w:hAnsiTheme="majorEastAsia" w:eastAsiaTheme="majorEastAsia" w:cstheme="majorEastAsia"/>
                <w:b/>
                <w:kern w:val="0"/>
                <w:sz w:val="18"/>
                <w:szCs w:val="18"/>
              </w:rPr>
              <w:t>三、其他要求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3" w:hRule="atLeast"/>
          <w:jc w:val="center"/>
        </w:trPr>
        <w:tc>
          <w:tcPr>
            <w:tcW w:w="181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Theme="majorEastAsia" w:hAnsiTheme="majorEastAsia" w:eastAsiaTheme="majorEastAsia" w:cstheme="majorEastAsia"/>
                <w:kern w:val="0"/>
                <w:sz w:val="18"/>
                <w:szCs w:val="18"/>
              </w:rPr>
            </w:pPr>
          </w:p>
        </w:tc>
        <w:tc>
          <w:tcPr>
            <w:tcW w:w="7396"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ind w:firstLine="360" w:firstLineChars="200"/>
              <w:textAlignment w:val="auto"/>
              <w:rPr>
                <w:rFonts w:hint="eastAsia" w:asciiTheme="majorEastAsia" w:hAnsiTheme="majorEastAsia" w:eastAsiaTheme="majorEastAsia" w:cstheme="majorEastAsia"/>
                <w:color w:val="000000" w:themeColor="text1"/>
                <w:sz w:val="18"/>
                <w:szCs w:val="18"/>
                <w14:textFill>
                  <w14:solidFill>
                    <w14:schemeClr w14:val="tx1"/>
                  </w14:solidFill>
                </w14:textFill>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各项货物（服务）内容及质量要求的条件及带▲为本次采购必满 足条件，否则其报价无效。</w:t>
            </w:r>
          </w:p>
          <w:p>
            <w:pPr>
              <w:keepNext w:val="0"/>
              <w:keepLines w:val="0"/>
              <w:pageBreakBefore w:val="0"/>
              <w:kinsoku/>
              <w:wordWrap/>
              <w:overflowPunct/>
              <w:topLinePunct w:val="0"/>
              <w:bidi w:val="0"/>
              <w:snapToGrid/>
              <w:ind w:firstLine="360" w:firstLineChars="200"/>
              <w:textAlignment w:val="auto"/>
              <w:rPr>
                <w:rFonts w:hint="eastAsia" w:asciiTheme="majorEastAsia" w:hAnsiTheme="majorEastAsia" w:eastAsiaTheme="majorEastAsia" w:cstheme="majorEastAsia"/>
                <w:color w:val="000000" w:themeColor="text1"/>
                <w:sz w:val="18"/>
                <w:szCs w:val="18"/>
                <w14:textFill>
                  <w14:solidFill>
                    <w14:schemeClr w14:val="tx1"/>
                  </w14:solidFill>
                </w14:textFill>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本项目不组织实地考察。</w:t>
            </w:r>
          </w:p>
          <w:p>
            <w:pPr>
              <w:keepNext w:val="0"/>
              <w:keepLines w:val="0"/>
              <w:pageBreakBefore w:val="0"/>
              <w:kinsoku/>
              <w:wordWrap/>
              <w:overflowPunct/>
              <w:topLinePunct w:val="0"/>
              <w:bidi w:val="0"/>
              <w:snapToGrid/>
              <w:ind w:firstLine="360" w:firstLineChars="200"/>
              <w:textAlignment w:val="auto"/>
              <w:rPr>
                <w:rFonts w:hint="eastAsia" w:asciiTheme="majorEastAsia" w:hAnsiTheme="majorEastAsia" w:eastAsiaTheme="majorEastAsia" w:cstheme="majorEastAsia"/>
                <w:color w:val="000000" w:themeColor="text1"/>
                <w:sz w:val="18"/>
                <w:szCs w:val="18"/>
                <w14:textFill>
                  <w14:solidFill>
                    <w14:schemeClr w14:val="tx1"/>
                  </w14:solidFill>
                </w14:textFill>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供应商必须符合《中华人民共和国政府采购法》第二十二条规定；供应商必须为正规合法 的销售商或代理商，为保证售后服务的及时性，供应商注册地址仅限于广西区域内；本项目不接受联合体报价，不允许分包、不允许挂靠。</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color w:val="000000" w:themeColor="text1"/>
                <w:sz w:val="18"/>
                <w:szCs w:val="18"/>
                <w14:textFill>
                  <w14:solidFill>
                    <w14:schemeClr w14:val="tx1"/>
                  </w14:solidFill>
                </w14:textFill>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报价时需提交的材料包括但不限于：</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color w:val="000000" w:themeColor="text1"/>
                <w:sz w:val="18"/>
                <w:szCs w:val="18"/>
                <w14:textFill>
                  <w14:solidFill>
                    <w14:schemeClr w14:val="tx1"/>
                  </w14:solidFill>
                </w14:textFill>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（1）项目报价表（格式见附件）；</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color w:val="000000" w:themeColor="text1"/>
                <w:sz w:val="18"/>
                <w:szCs w:val="18"/>
                <w14:textFill>
                  <w14:solidFill>
                    <w14:schemeClr w14:val="tx1"/>
                  </w14:solidFill>
                </w14:textFill>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（2）符合本项目需求的在有效期内的营业执照；</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color w:val="000000" w:themeColor="text1"/>
                <w:sz w:val="18"/>
                <w:szCs w:val="18"/>
                <w:lang w:eastAsia="zh-CN"/>
                <w14:textFill>
                  <w14:solidFill>
                    <w14:schemeClr w14:val="tx1"/>
                  </w14:solidFill>
                </w14:textFill>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（3）报价产品生产厂家营业执照、质量管理体系认证证书、知识产权管理体系认证证书、职业健康安全管理体系认证证书、环境管理体系认证证书、省级或以上著名商标证书</w:t>
            </w:r>
            <w:r>
              <w:rPr>
                <w:rFonts w:hint="eastAsia" w:asciiTheme="majorEastAsia" w:hAnsiTheme="majorEastAsia" w:eastAsiaTheme="majorEastAsia" w:cstheme="majorEastAsia"/>
                <w:color w:val="000000" w:themeColor="text1"/>
                <w:sz w:val="18"/>
                <w:szCs w:val="18"/>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18"/>
                <w:szCs w:val="18"/>
                <w:lang w:val="en-US" w:eastAsia="zh-CN"/>
                <w14:textFill>
                  <w14:solidFill>
                    <w14:schemeClr w14:val="tx1"/>
                  </w14:solidFill>
                </w14:textFill>
              </w:rPr>
              <w:t>复印件</w:t>
            </w:r>
            <w:r>
              <w:rPr>
                <w:rFonts w:hint="eastAsia" w:asciiTheme="majorEastAsia" w:hAnsiTheme="majorEastAsia" w:eastAsiaTheme="majorEastAsia" w:cstheme="majorEastAsia"/>
                <w:color w:val="000000" w:themeColor="text1"/>
                <w:sz w:val="18"/>
                <w:szCs w:val="18"/>
                <w:lang w:eastAsia="zh-CN"/>
                <w14:textFill>
                  <w14:solidFill>
                    <w14:schemeClr w14:val="tx1"/>
                  </w14:solidFill>
                </w14:textFill>
              </w:rPr>
              <w:t>）</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color w:val="000000" w:themeColor="text1"/>
                <w:sz w:val="18"/>
                <w:szCs w:val="18"/>
                <w14:textFill>
                  <w14:solidFill>
                    <w14:schemeClr w14:val="tx1"/>
                  </w14:solidFill>
                </w14:textFill>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（4）服务承诺书（格式自拟）；</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color w:val="000000" w:themeColor="text1"/>
                <w:sz w:val="18"/>
                <w:szCs w:val="18"/>
                <w14:textFill>
                  <w14:solidFill>
                    <w14:schemeClr w14:val="tx1"/>
                  </w14:solidFill>
                </w14:textFill>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w:t>
            </w:r>
            <w:r>
              <w:rPr>
                <w:rFonts w:hint="eastAsia" w:asciiTheme="majorEastAsia" w:hAnsiTheme="majorEastAsia" w:eastAsiaTheme="majorEastAsia" w:cstheme="majorEastAsia"/>
                <w:color w:val="000000" w:themeColor="text1"/>
                <w:sz w:val="18"/>
                <w:szCs w:val="18"/>
                <w:lang w:val="en-US" w:eastAsia="zh-CN"/>
                <w14:textFill>
                  <w14:solidFill>
                    <w14:schemeClr w14:val="tx1"/>
                  </w14:solidFill>
                </w14:textFill>
              </w:rPr>
              <w:t>5</w:t>
            </w:r>
            <w:r>
              <w:rPr>
                <w:rFonts w:hint="eastAsia" w:asciiTheme="majorEastAsia" w:hAnsiTheme="majorEastAsia" w:eastAsiaTheme="majorEastAsia" w:cstheme="majorEastAsia"/>
                <w:color w:val="000000" w:themeColor="text1"/>
                <w:sz w:val="18"/>
                <w:szCs w:val="18"/>
                <w14:textFill>
                  <w14:solidFill>
                    <w14:schemeClr w14:val="tx1"/>
                  </w14:solidFill>
                </w14:textFill>
              </w:rPr>
              <w:t>）技术参数响应表（在项目报价表中列出响应产品的生产厂家、品 牌及型号）；</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color w:val="000000" w:themeColor="text1"/>
                <w:sz w:val="18"/>
                <w:szCs w:val="18"/>
                <w14:textFill>
                  <w14:solidFill>
                    <w14:schemeClr w14:val="tx1"/>
                  </w14:solidFill>
                </w14:textFill>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w:t>
            </w:r>
            <w:r>
              <w:rPr>
                <w:rFonts w:hint="eastAsia" w:asciiTheme="majorEastAsia" w:hAnsiTheme="majorEastAsia" w:eastAsiaTheme="majorEastAsia" w:cstheme="majorEastAsia"/>
                <w:color w:val="000000" w:themeColor="text1"/>
                <w:sz w:val="18"/>
                <w:szCs w:val="18"/>
                <w:lang w:val="en-US" w:eastAsia="zh-CN"/>
                <w14:textFill>
                  <w14:solidFill>
                    <w14:schemeClr w14:val="tx1"/>
                  </w14:solidFill>
                </w14:textFill>
              </w:rPr>
              <w:t>6</w:t>
            </w:r>
            <w:r>
              <w:rPr>
                <w:rFonts w:hint="eastAsia" w:asciiTheme="majorEastAsia" w:hAnsiTheme="majorEastAsia" w:eastAsiaTheme="majorEastAsia" w:cstheme="majorEastAsia"/>
                <w:color w:val="000000" w:themeColor="text1"/>
                <w:sz w:val="18"/>
                <w:szCs w:val="18"/>
                <w14:textFill>
                  <w14:solidFill>
                    <w14:schemeClr w14:val="tx1"/>
                  </w14:solidFill>
                </w14:textFill>
              </w:rPr>
              <w:t>）需求中要求提供的其他相关证书及检测报告、法人身份证复印件、 生产厂家授权证书复印件（需加盖厂家公章，原件随货）、该项目负责人身份证复印件等材料。</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color w:val="000000" w:themeColor="text1"/>
                <w:sz w:val="18"/>
                <w:szCs w:val="18"/>
                <w14:textFill>
                  <w14:solidFill>
                    <w14:schemeClr w14:val="tx1"/>
                  </w14:solidFill>
                </w14:textFill>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以上所有材料均需加盖报价单位公章，否则报价无效。</w:t>
            </w:r>
          </w:p>
          <w:p>
            <w:pPr>
              <w:keepNext w:val="0"/>
              <w:keepLines w:val="0"/>
              <w:pageBreakBefore w:val="0"/>
              <w:kinsoku/>
              <w:wordWrap/>
              <w:overflowPunct/>
              <w:topLinePunct w:val="0"/>
              <w:bidi w:val="0"/>
              <w:snapToGrid/>
              <w:ind w:firstLine="360" w:firstLineChars="200"/>
              <w:textAlignment w:val="auto"/>
              <w:rPr>
                <w:rFonts w:hint="eastAsia" w:asciiTheme="majorEastAsia" w:hAnsiTheme="majorEastAsia" w:eastAsiaTheme="majorEastAsia" w:cstheme="majorEastAsia"/>
                <w:color w:val="000000" w:themeColor="text1"/>
                <w:sz w:val="18"/>
                <w:szCs w:val="18"/>
                <w14:textFill>
                  <w14:solidFill>
                    <w14:schemeClr w14:val="tx1"/>
                  </w14:solidFill>
                </w14:textFill>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本次报价须为人民币报价，包含产品价、运输费（含装卸费）、保险费、安装调试费、税费等费用。对于本文件中 明确列明必须报价的货物或服务，投标人应分别报价。对于本文件中未列明，而投标人认为必需的费用也需列入总报价。在合同实施时，采购人将不予支付中标人没有列入的项目费用，并认为此项目的费用已包括在投标总报价中。</w:t>
            </w:r>
          </w:p>
          <w:p>
            <w:pPr>
              <w:keepNext w:val="0"/>
              <w:keepLines w:val="0"/>
              <w:pageBreakBefore w:val="0"/>
              <w:kinsoku/>
              <w:wordWrap/>
              <w:overflowPunct/>
              <w:topLinePunct w:val="0"/>
              <w:bidi w:val="0"/>
              <w:snapToGrid/>
              <w:ind w:firstLine="171" w:firstLineChars="100"/>
              <w:textAlignment w:val="auto"/>
              <w:rPr>
                <w:rFonts w:hint="eastAsia" w:asciiTheme="majorEastAsia" w:hAnsiTheme="majorEastAsia" w:eastAsiaTheme="majorEastAsia" w:cstheme="majorEastAsia"/>
                <w:b/>
                <w:bCs/>
                <w:color w:val="000000" w:themeColor="text1"/>
                <w:sz w:val="18"/>
                <w:szCs w:val="18"/>
                <w14:textFill>
                  <w14:solidFill>
                    <w14:schemeClr w14:val="tx1"/>
                  </w14:solidFill>
                </w14:textFill>
              </w:rPr>
            </w:pPr>
            <w:r>
              <w:rPr>
                <w:rFonts w:hint="eastAsia" w:ascii="宋体" w:hAnsi="宋体" w:eastAsia="宋体" w:cs="宋体"/>
                <w:b/>
                <w:bCs/>
                <w:color w:val="auto"/>
                <w:spacing w:val="-5"/>
                <w:sz w:val="18"/>
                <w:szCs w:val="18"/>
              </w:rPr>
              <w:t>质量保证期</w:t>
            </w:r>
          </w:p>
          <w:p>
            <w:pPr>
              <w:pStyle w:val="38"/>
              <w:spacing w:before="56" w:line="230" w:lineRule="auto"/>
              <w:ind w:left="118" w:right="506" w:firstLine="15"/>
              <w:jc w:val="both"/>
              <w:rPr>
                <w:rFonts w:hint="eastAsia" w:ascii="宋体" w:hAnsi="宋体" w:eastAsia="宋体" w:cs="宋体"/>
                <w:color w:val="auto"/>
                <w:sz w:val="18"/>
                <w:szCs w:val="18"/>
              </w:rPr>
            </w:pPr>
            <w:r>
              <w:rPr>
                <w:rFonts w:hint="eastAsia" w:ascii="宋体" w:hAnsi="宋体" w:eastAsia="宋体" w:cs="宋体"/>
                <w:color w:val="auto"/>
                <w:spacing w:val="-3"/>
                <w:sz w:val="18"/>
                <w:szCs w:val="18"/>
              </w:rPr>
              <w:t>1.质保期：按国家有关产品“三包</w:t>
            </w:r>
            <w:r>
              <w:rPr>
                <w:rFonts w:hint="eastAsia" w:ascii="宋体" w:hAnsi="宋体" w:eastAsia="宋体" w:cs="宋体"/>
                <w:color w:val="auto"/>
                <w:spacing w:val="-88"/>
                <w:sz w:val="18"/>
                <w:szCs w:val="18"/>
              </w:rPr>
              <w:t xml:space="preserve"> </w:t>
            </w:r>
            <w:r>
              <w:rPr>
                <w:rFonts w:hint="eastAsia" w:ascii="宋体" w:hAnsi="宋体" w:eastAsia="宋体" w:cs="宋体"/>
                <w:color w:val="auto"/>
                <w:spacing w:val="-3"/>
                <w:sz w:val="18"/>
                <w:szCs w:val="18"/>
              </w:rPr>
              <w:t>”规定执行“三</w:t>
            </w:r>
            <w:r>
              <w:rPr>
                <w:rFonts w:hint="eastAsia" w:ascii="宋体" w:hAnsi="宋体" w:eastAsia="宋体" w:cs="宋体"/>
                <w:color w:val="auto"/>
                <w:spacing w:val="-4"/>
                <w:sz w:val="18"/>
                <w:szCs w:val="18"/>
              </w:rPr>
              <w:t>包</w:t>
            </w:r>
            <w:r>
              <w:rPr>
                <w:rFonts w:hint="eastAsia" w:ascii="宋体" w:hAnsi="宋体" w:eastAsia="宋体" w:cs="宋体"/>
                <w:color w:val="auto"/>
                <w:spacing w:val="-88"/>
                <w:sz w:val="18"/>
                <w:szCs w:val="18"/>
              </w:rPr>
              <w:t xml:space="preserve"> </w:t>
            </w:r>
            <w:r>
              <w:rPr>
                <w:rFonts w:hint="eastAsia" w:ascii="宋体" w:hAnsi="宋体" w:eastAsia="宋体" w:cs="宋体"/>
                <w:color w:val="auto"/>
                <w:spacing w:val="-4"/>
                <w:sz w:val="18"/>
                <w:szCs w:val="18"/>
              </w:rPr>
              <w:t>”，质保期除</w:t>
            </w:r>
            <w:r>
              <w:rPr>
                <w:rFonts w:hint="eastAsia" w:ascii="宋体" w:hAnsi="宋体" w:eastAsia="宋体" w:cs="宋体"/>
                <w:color w:val="auto"/>
                <w:spacing w:val="-2"/>
                <w:sz w:val="18"/>
                <w:szCs w:val="18"/>
              </w:rPr>
              <w:t>特别注明外，最短不得少于 1 年。质保期内负责上门服务、维修、更换配件，不得收取任何费用；“技术需求</w:t>
            </w:r>
            <w:r>
              <w:rPr>
                <w:rFonts w:hint="eastAsia" w:ascii="宋体" w:hAnsi="宋体" w:eastAsia="宋体" w:cs="宋体"/>
                <w:color w:val="auto"/>
                <w:spacing w:val="-79"/>
                <w:sz w:val="18"/>
                <w:szCs w:val="18"/>
              </w:rPr>
              <w:t xml:space="preserve"> </w:t>
            </w:r>
            <w:r>
              <w:rPr>
                <w:rFonts w:hint="eastAsia" w:ascii="宋体" w:hAnsi="宋体" w:eastAsia="宋体" w:cs="宋体"/>
                <w:color w:val="auto"/>
                <w:spacing w:val="-2"/>
                <w:sz w:val="18"/>
                <w:szCs w:val="18"/>
              </w:rPr>
              <w:t>”中有要求的，按</w:t>
            </w:r>
            <w:r>
              <w:rPr>
                <w:rFonts w:hint="eastAsia" w:ascii="宋体" w:hAnsi="宋体" w:eastAsia="宋体" w:cs="宋体"/>
                <w:color w:val="auto"/>
                <w:spacing w:val="-3"/>
                <w:sz w:val="18"/>
                <w:szCs w:val="18"/>
              </w:rPr>
              <w:t>要求执行。</w:t>
            </w:r>
          </w:p>
          <w:p>
            <w:pPr>
              <w:pStyle w:val="38"/>
              <w:spacing w:before="32" w:line="219" w:lineRule="auto"/>
              <w:ind w:left="114"/>
              <w:rPr>
                <w:rFonts w:hint="eastAsia" w:ascii="宋体" w:hAnsi="宋体" w:eastAsia="宋体" w:cs="宋体"/>
                <w:color w:val="auto"/>
                <w:sz w:val="18"/>
                <w:szCs w:val="18"/>
              </w:rPr>
            </w:pPr>
            <w:r>
              <w:rPr>
                <w:rFonts w:hint="eastAsia" w:ascii="宋体" w:hAnsi="宋体" w:eastAsia="宋体" w:cs="宋体"/>
                <w:color w:val="auto"/>
                <w:spacing w:val="-1"/>
                <w:sz w:val="18"/>
                <w:szCs w:val="18"/>
              </w:rPr>
              <w:t>2.售后服务费用包含在报价中，售后服务内容如下：</w:t>
            </w:r>
          </w:p>
          <w:p>
            <w:pPr>
              <w:pStyle w:val="38"/>
              <w:spacing w:before="34" w:line="234" w:lineRule="auto"/>
              <w:ind w:left="143" w:right="348" w:hanging="19"/>
              <w:rPr>
                <w:rFonts w:hint="eastAsia" w:ascii="宋体" w:hAnsi="宋体" w:eastAsia="宋体" w:cs="宋体"/>
                <w:color w:val="auto"/>
                <w:sz w:val="18"/>
                <w:szCs w:val="18"/>
              </w:rPr>
            </w:pPr>
            <w:r>
              <w:rPr>
                <w:rFonts w:hint="eastAsia" w:ascii="宋体" w:hAnsi="宋体" w:eastAsia="宋体" w:cs="宋体"/>
                <w:color w:val="auto"/>
                <w:spacing w:val="1"/>
                <w:sz w:val="18"/>
                <w:szCs w:val="18"/>
              </w:rPr>
              <w:t>（1）所有提供的产品均按国家有关产品“三包</w:t>
            </w:r>
            <w:r>
              <w:rPr>
                <w:rFonts w:hint="eastAsia" w:ascii="宋体" w:hAnsi="宋体" w:eastAsia="宋体" w:cs="宋体"/>
                <w:color w:val="auto"/>
                <w:spacing w:val="-89"/>
                <w:sz w:val="18"/>
                <w:szCs w:val="18"/>
              </w:rPr>
              <w:t xml:space="preserve"> </w:t>
            </w:r>
            <w:r>
              <w:rPr>
                <w:rFonts w:hint="eastAsia" w:ascii="宋体" w:hAnsi="宋体" w:eastAsia="宋体" w:cs="宋体"/>
                <w:color w:val="auto"/>
                <w:spacing w:val="1"/>
                <w:sz w:val="18"/>
                <w:szCs w:val="18"/>
              </w:rPr>
              <w:t>”规定执行“三包</w:t>
            </w:r>
            <w:r>
              <w:rPr>
                <w:rFonts w:hint="eastAsia" w:ascii="宋体" w:hAnsi="宋体" w:eastAsia="宋体" w:cs="宋体"/>
                <w:color w:val="auto"/>
                <w:spacing w:val="-88"/>
                <w:sz w:val="18"/>
                <w:szCs w:val="18"/>
              </w:rPr>
              <w:t xml:space="preserve"> </w:t>
            </w:r>
            <w:r>
              <w:rPr>
                <w:rFonts w:hint="eastAsia" w:ascii="宋体" w:hAnsi="宋体" w:eastAsia="宋体" w:cs="宋体"/>
                <w:color w:val="auto"/>
                <w:spacing w:val="1"/>
                <w:sz w:val="18"/>
                <w:szCs w:val="18"/>
              </w:rPr>
              <w:t>”</w:t>
            </w:r>
            <w:r>
              <w:rPr>
                <w:rFonts w:hint="eastAsia" w:ascii="宋体" w:hAnsi="宋体" w:eastAsia="宋体" w:cs="宋体"/>
                <w:color w:val="auto"/>
                <w:sz w:val="18"/>
                <w:szCs w:val="18"/>
              </w:rPr>
              <w:t xml:space="preserve"> </w:t>
            </w:r>
            <w:r>
              <w:rPr>
                <w:rFonts w:hint="eastAsia" w:ascii="宋体" w:hAnsi="宋体" w:eastAsia="宋体" w:cs="宋体"/>
                <w:color w:val="auto"/>
                <w:spacing w:val="-2"/>
                <w:sz w:val="18"/>
                <w:szCs w:val="18"/>
              </w:rPr>
              <w:t>以及厂家承诺进行；免费送货上门、安装、调试。</w:t>
            </w:r>
          </w:p>
          <w:p>
            <w:pPr>
              <w:pStyle w:val="38"/>
              <w:spacing w:before="32" w:line="233" w:lineRule="auto"/>
              <w:ind w:left="146" w:right="583" w:hanging="22"/>
              <w:rPr>
                <w:rFonts w:hint="eastAsia" w:ascii="宋体" w:hAnsi="宋体" w:eastAsia="宋体" w:cs="宋体"/>
                <w:color w:val="auto"/>
                <w:sz w:val="18"/>
                <w:szCs w:val="18"/>
              </w:rPr>
            </w:pPr>
            <w:r>
              <w:rPr>
                <w:rFonts w:hint="eastAsia" w:ascii="宋体" w:hAnsi="宋体" w:eastAsia="宋体" w:cs="宋体"/>
                <w:color w:val="auto"/>
                <w:spacing w:val="-1"/>
                <w:sz w:val="18"/>
                <w:szCs w:val="18"/>
              </w:rPr>
              <w:t>（2）中标人应</w:t>
            </w:r>
            <w:r>
              <w:rPr>
                <w:rFonts w:hint="eastAsia" w:ascii="宋体" w:hAnsi="宋体" w:eastAsia="宋体" w:cs="宋体"/>
                <w:color w:val="auto"/>
                <w:spacing w:val="-1"/>
                <w:sz w:val="18"/>
                <w:szCs w:val="18"/>
                <w:lang w:val="en-US" w:eastAsia="zh-CN"/>
              </w:rPr>
              <w:t>在</w:t>
            </w:r>
            <w:r>
              <w:rPr>
                <w:rFonts w:hint="eastAsia" w:ascii="宋体" w:hAnsi="宋体" w:eastAsia="宋体" w:cs="宋体"/>
                <w:color w:val="auto"/>
                <w:spacing w:val="-1"/>
                <w:sz w:val="18"/>
                <w:szCs w:val="18"/>
              </w:rPr>
              <w:t>接到故障通知后在 4 小时内到</w:t>
            </w:r>
            <w:r>
              <w:rPr>
                <w:rFonts w:hint="eastAsia" w:ascii="宋体" w:hAnsi="宋体" w:eastAsia="宋体" w:cs="宋体"/>
                <w:color w:val="auto"/>
                <w:spacing w:val="-1"/>
                <w:sz w:val="18"/>
                <w:szCs w:val="18"/>
                <w:lang w:val="en-US" w:eastAsia="zh-CN"/>
              </w:rPr>
              <w:t>达</w:t>
            </w:r>
            <w:r>
              <w:rPr>
                <w:rFonts w:hint="eastAsia" w:ascii="宋体" w:hAnsi="宋体" w:eastAsia="宋体" w:cs="宋体"/>
                <w:color w:val="auto"/>
                <w:spacing w:val="-1"/>
                <w:sz w:val="18"/>
                <w:szCs w:val="18"/>
              </w:rPr>
              <w:t>采购人指定现场，按</w:t>
            </w:r>
            <w:r>
              <w:rPr>
                <w:rFonts w:hint="eastAsia" w:ascii="宋体" w:hAnsi="宋体" w:eastAsia="宋体" w:cs="宋体"/>
                <w:color w:val="auto"/>
                <w:spacing w:val="-1"/>
                <w:sz w:val="18"/>
                <w:szCs w:val="18"/>
                <w:lang w:val="en-US" w:eastAsia="zh-CN"/>
              </w:rPr>
              <w:t>照</w:t>
            </w:r>
            <w:r>
              <w:rPr>
                <w:rFonts w:hint="eastAsia" w:ascii="宋体" w:hAnsi="宋体" w:eastAsia="宋体" w:cs="宋体"/>
                <w:color w:val="auto"/>
                <w:spacing w:val="-3"/>
                <w:sz w:val="18"/>
                <w:szCs w:val="18"/>
              </w:rPr>
              <w:t>国家及行业标准对故障</w:t>
            </w:r>
            <w:r>
              <w:rPr>
                <w:rFonts w:hint="eastAsia" w:ascii="宋体" w:hAnsi="宋体" w:eastAsia="宋体" w:cs="宋体"/>
                <w:color w:val="auto"/>
                <w:spacing w:val="-3"/>
                <w:sz w:val="18"/>
                <w:szCs w:val="18"/>
                <w:lang w:val="en-US" w:eastAsia="zh-CN"/>
              </w:rPr>
              <w:t>或问题产品</w:t>
            </w:r>
            <w:r>
              <w:rPr>
                <w:rFonts w:hint="eastAsia" w:ascii="宋体" w:hAnsi="宋体" w:eastAsia="宋体" w:cs="宋体"/>
                <w:color w:val="auto"/>
                <w:spacing w:val="-3"/>
                <w:sz w:val="18"/>
                <w:szCs w:val="18"/>
              </w:rPr>
              <w:t>进行及时处理。</w:t>
            </w:r>
          </w:p>
          <w:p>
            <w:pPr>
              <w:pStyle w:val="38"/>
              <w:spacing w:before="34" w:line="237" w:lineRule="auto"/>
              <w:ind w:left="119" w:right="583" w:firstLine="4"/>
              <w:rPr>
                <w:rFonts w:hint="eastAsia" w:ascii="宋体" w:hAnsi="宋体" w:eastAsia="宋体" w:cs="宋体"/>
                <w:color w:val="auto"/>
                <w:sz w:val="18"/>
                <w:szCs w:val="18"/>
              </w:rPr>
            </w:pPr>
            <w:r>
              <w:rPr>
                <w:rFonts w:hint="eastAsia" w:ascii="宋体" w:hAnsi="宋体" w:eastAsia="宋体" w:cs="宋体"/>
                <w:color w:val="auto"/>
                <w:spacing w:val="-1"/>
                <w:sz w:val="18"/>
                <w:szCs w:val="18"/>
              </w:rPr>
              <w:t>（3）在质量保证期内设备</w:t>
            </w:r>
            <w:r>
              <w:rPr>
                <w:rFonts w:hint="eastAsia" w:ascii="宋体" w:hAnsi="宋体" w:eastAsia="宋体" w:cs="宋体"/>
                <w:color w:val="auto"/>
                <w:spacing w:val="-1"/>
                <w:sz w:val="18"/>
                <w:szCs w:val="18"/>
                <w:lang w:val="en-US" w:eastAsia="zh-CN"/>
              </w:rPr>
              <w:t>或器材</w:t>
            </w:r>
            <w:r>
              <w:rPr>
                <w:rFonts w:hint="eastAsia" w:ascii="宋体" w:hAnsi="宋体" w:eastAsia="宋体" w:cs="宋体"/>
                <w:color w:val="auto"/>
                <w:spacing w:val="-1"/>
                <w:sz w:val="18"/>
                <w:szCs w:val="18"/>
              </w:rPr>
              <w:t>非因人为及不可抗拒因素的原因而引起</w:t>
            </w:r>
            <w:r>
              <w:rPr>
                <w:rFonts w:hint="eastAsia" w:ascii="宋体" w:hAnsi="宋体" w:eastAsia="宋体" w:cs="宋体"/>
                <w:color w:val="auto"/>
                <w:spacing w:val="-1"/>
                <w:sz w:val="18"/>
                <w:szCs w:val="18"/>
                <w:lang w:val="en-US" w:eastAsia="zh-CN"/>
              </w:rPr>
              <w:t>的</w:t>
            </w:r>
            <w:r>
              <w:rPr>
                <w:rFonts w:hint="eastAsia" w:ascii="宋体" w:hAnsi="宋体" w:eastAsia="宋体" w:cs="宋体"/>
                <w:color w:val="auto"/>
                <w:spacing w:val="-1"/>
                <w:sz w:val="18"/>
                <w:szCs w:val="18"/>
              </w:rPr>
              <w:t>损坏或质量问题，成交供应商应免费予以技术服务、维修或</w:t>
            </w:r>
            <w:r>
              <w:rPr>
                <w:rFonts w:hint="eastAsia" w:ascii="宋体" w:hAnsi="宋体" w:eastAsia="宋体" w:cs="宋体"/>
                <w:color w:val="auto"/>
                <w:spacing w:val="-1"/>
                <w:sz w:val="18"/>
                <w:szCs w:val="18"/>
                <w:lang w:val="en-US" w:eastAsia="zh-CN"/>
              </w:rPr>
              <w:t>对</w:t>
            </w:r>
            <w:r>
              <w:rPr>
                <w:rFonts w:hint="eastAsia" w:ascii="宋体" w:hAnsi="宋体" w:eastAsia="宋体" w:cs="宋体"/>
                <w:color w:val="auto"/>
                <w:spacing w:val="-1"/>
                <w:sz w:val="18"/>
                <w:szCs w:val="18"/>
              </w:rPr>
              <w:t>设备</w:t>
            </w:r>
            <w:r>
              <w:rPr>
                <w:rFonts w:hint="eastAsia" w:ascii="宋体" w:hAnsi="宋体" w:eastAsia="宋体" w:cs="宋体"/>
                <w:color w:val="auto"/>
                <w:spacing w:val="-1"/>
                <w:sz w:val="18"/>
                <w:szCs w:val="18"/>
                <w:lang w:eastAsia="zh-CN"/>
              </w:rPr>
              <w:t>、</w:t>
            </w:r>
            <w:r>
              <w:rPr>
                <w:rFonts w:hint="eastAsia" w:ascii="宋体" w:hAnsi="宋体" w:eastAsia="宋体" w:cs="宋体"/>
                <w:color w:val="auto"/>
                <w:spacing w:val="-1"/>
                <w:sz w:val="18"/>
                <w:szCs w:val="18"/>
                <w:lang w:val="en-US" w:eastAsia="zh-CN"/>
              </w:rPr>
              <w:t>器材进行</w:t>
            </w:r>
            <w:r>
              <w:rPr>
                <w:rFonts w:hint="eastAsia" w:ascii="宋体" w:hAnsi="宋体" w:eastAsia="宋体" w:cs="宋体"/>
                <w:color w:val="auto"/>
                <w:spacing w:val="-1"/>
                <w:sz w:val="18"/>
                <w:szCs w:val="18"/>
              </w:rPr>
              <w:t>更换，并承担相应费用。</w:t>
            </w:r>
          </w:p>
          <w:p>
            <w:pPr>
              <w:keepNext w:val="0"/>
              <w:keepLines w:val="0"/>
              <w:pageBreakBefore w:val="0"/>
              <w:kinsoku/>
              <w:wordWrap/>
              <w:overflowPunct/>
              <w:topLinePunct w:val="0"/>
              <w:bidi w:val="0"/>
              <w:snapToGrid/>
              <w:ind w:firstLine="348" w:firstLineChars="200"/>
              <w:textAlignment w:val="auto"/>
              <w:rPr>
                <w:rFonts w:hint="eastAsia" w:asciiTheme="majorEastAsia" w:hAnsiTheme="majorEastAsia" w:eastAsiaTheme="majorEastAsia" w:cstheme="majorEastAsia"/>
                <w:color w:val="000000" w:themeColor="text1"/>
                <w:sz w:val="18"/>
                <w:szCs w:val="18"/>
                <w14:textFill>
                  <w14:solidFill>
                    <w14:schemeClr w14:val="tx1"/>
                  </w14:solidFill>
                </w14:textFill>
              </w:rPr>
            </w:pPr>
            <w:r>
              <w:rPr>
                <w:rFonts w:hint="eastAsia" w:ascii="宋体" w:hAnsi="宋体" w:eastAsia="宋体" w:cs="宋体"/>
                <w:color w:val="auto"/>
                <w:spacing w:val="-3"/>
                <w:sz w:val="18"/>
                <w:szCs w:val="18"/>
              </w:rPr>
              <w:t>（4）其余按</w:t>
            </w:r>
            <w:r>
              <w:rPr>
                <w:rFonts w:hint="eastAsia" w:ascii="宋体" w:hAnsi="宋体" w:eastAsia="宋体" w:cs="宋体"/>
                <w:color w:val="auto"/>
                <w:spacing w:val="-3"/>
                <w:sz w:val="18"/>
                <w:szCs w:val="18"/>
                <w:lang w:val="en-US" w:eastAsia="zh-CN"/>
              </w:rPr>
              <w:t>厂家</w:t>
            </w:r>
            <w:r>
              <w:rPr>
                <w:rFonts w:hint="eastAsia" w:ascii="宋体" w:hAnsi="宋体" w:eastAsia="宋体" w:cs="宋体"/>
                <w:color w:val="auto"/>
                <w:spacing w:val="-3"/>
                <w:sz w:val="18"/>
                <w:szCs w:val="18"/>
              </w:rPr>
              <w:t>承诺</w:t>
            </w:r>
          </w:p>
          <w:p>
            <w:pPr>
              <w:keepNext w:val="0"/>
              <w:keepLines w:val="0"/>
              <w:pageBreakBefore w:val="0"/>
              <w:kinsoku/>
              <w:wordWrap/>
              <w:overflowPunct/>
              <w:topLinePunct w:val="0"/>
              <w:bidi w:val="0"/>
              <w:snapToGrid/>
              <w:textAlignment w:val="auto"/>
              <w:rPr>
                <w:rFonts w:hint="eastAsia"/>
                <w:b/>
                <w:bCs/>
                <w:sz w:val="18"/>
                <w:szCs w:val="18"/>
                <w:lang w:val="en-US" w:eastAsia="zh-CN"/>
              </w:rPr>
            </w:pPr>
            <w:r>
              <w:rPr>
                <w:rFonts w:hint="eastAsia"/>
                <w:b/>
                <w:bCs/>
                <w:sz w:val="18"/>
                <w:szCs w:val="18"/>
                <w:lang w:val="en-US" w:eastAsia="zh-CN"/>
              </w:rPr>
              <w:t>验收</w:t>
            </w:r>
          </w:p>
          <w:p>
            <w:pPr>
              <w:keepNext w:val="0"/>
              <w:keepLines w:val="0"/>
              <w:pageBreakBefore w:val="0"/>
              <w:kinsoku/>
              <w:wordWrap/>
              <w:overflowPunct/>
              <w:topLinePunct w:val="0"/>
              <w:bidi w:val="0"/>
              <w:snapToGrid/>
              <w:ind w:firstLine="360" w:firstLineChars="200"/>
              <w:textAlignment w:val="auto"/>
              <w:rPr>
                <w:rFonts w:hint="eastAsia"/>
                <w:sz w:val="18"/>
                <w:szCs w:val="18"/>
              </w:rPr>
            </w:pPr>
            <w:r>
              <w:rPr>
                <w:rFonts w:hint="eastAsia"/>
                <w:sz w:val="18"/>
                <w:szCs w:val="18"/>
                <w:lang w:val="en-US" w:eastAsia="zh-CN"/>
              </w:rPr>
              <w:t>1、</w:t>
            </w:r>
            <w:r>
              <w:rPr>
                <w:rFonts w:hint="eastAsia"/>
                <w:sz w:val="18"/>
                <w:szCs w:val="18"/>
              </w:rPr>
              <w:t>到货验收：货物运抵甲方指定地点后，甲方应依据本合同及反向竞价文件上的技术规格要求和国家有关质量标准及时进行验收。如发生所供货物与合同约定不符，甲方有权退货或要求乙方进行更换、补齐，因此造成逾期交货的，乙方应承担逾期交货的违约责任。乙方应在接到甲方要求后 10日内予以补救，所产生的费用及法律后果由乙方承担。</w:t>
            </w:r>
          </w:p>
          <w:p>
            <w:pPr>
              <w:pStyle w:val="38"/>
              <w:spacing w:before="54" w:line="233" w:lineRule="auto"/>
              <w:ind w:left="119" w:right="108" w:firstLine="483"/>
              <w:rPr>
                <w:rFonts w:hint="eastAsia" w:asciiTheme="majorEastAsia" w:hAnsiTheme="majorEastAsia" w:eastAsiaTheme="majorEastAsia" w:cstheme="majorEastAsia"/>
                <w:sz w:val="18"/>
                <w:szCs w:val="18"/>
              </w:rPr>
            </w:pPr>
            <w:r>
              <w:rPr>
                <w:rFonts w:hint="eastAsia"/>
                <w:sz w:val="18"/>
                <w:szCs w:val="18"/>
              </w:rPr>
              <w:t>2、</w:t>
            </w:r>
            <w:r>
              <w:rPr>
                <w:rFonts w:hint="eastAsia" w:asciiTheme="majorEastAsia" w:hAnsiTheme="majorEastAsia" w:eastAsiaTheme="majorEastAsia" w:cstheme="majorEastAsia"/>
                <w:color w:val="auto"/>
                <w:spacing w:val="-1"/>
                <w:sz w:val="18"/>
                <w:szCs w:val="18"/>
              </w:rPr>
              <w:t>按需求参数标准进行验收（包含但不限于采购方经委托专业权威机</w:t>
            </w:r>
            <w:r>
              <w:rPr>
                <w:rFonts w:hint="eastAsia" w:asciiTheme="majorEastAsia" w:hAnsiTheme="majorEastAsia" w:eastAsiaTheme="majorEastAsia" w:cstheme="majorEastAsia"/>
                <w:color w:val="auto"/>
                <w:spacing w:val="7"/>
                <w:sz w:val="18"/>
                <w:szCs w:val="18"/>
              </w:rPr>
              <w:t xml:space="preserve"> </w:t>
            </w:r>
            <w:r>
              <w:rPr>
                <w:rFonts w:hint="eastAsia" w:asciiTheme="majorEastAsia" w:hAnsiTheme="majorEastAsia" w:eastAsiaTheme="majorEastAsia" w:cstheme="majorEastAsia"/>
                <w:color w:val="auto"/>
                <w:spacing w:val="-1"/>
                <w:sz w:val="18"/>
                <w:szCs w:val="18"/>
              </w:rPr>
              <w:t>构对供应商提供的相关产品随机抽检完全符合国家标准和采购文件技术要求）。经抽检检验发现成交人所提供的货物与</w:t>
            </w:r>
            <w:r>
              <w:rPr>
                <w:rFonts w:hint="eastAsia" w:asciiTheme="majorEastAsia" w:hAnsiTheme="majorEastAsia" w:eastAsiaTheme="majorEastAsia" w:cstheme="majorEastAsia"/>
                <w:color w:val="auto"/>
                <w:spacing w:val="-1"/>
                <w:sz w:val="18"/>
                <w:szCs w:val="18"/>
                <w:lang w:val="en-US" w:eastAsia="zh-CN"/>
              </w:rPr>
              <w:t>询价文件要求和</w:t>
            </w:r>
            <w:r>
              <w:rPr>
                <w:rFonts w:hint="eastAsia" w:asciiTheme="majorEastAsia" w:hAnsiTheme="majorEastAsia" w:eastAsiaTheme="majorEastAsia" w:cstheme="majorEastAsia"/>
                <w:color w:val="auto"/>
                <w:spacing w:val="-1"/>
                <w:sz w:val="18"/>
                <w:szCs w:val="18"/>
              </w:rPr>
              <w:t>报价文件中承诺的技术参数不符的，采购人有权拒绝验收，并要求成交人</w:t>
            </w:r>
            <w:r>
              <w:rPr>
                <w:rFonts w:hint="eastAsia" w:asciiTheme="majorEastAsia" w:hAnsiTheme="majorEastAsia" w:eastAsiaTheme="majorEastAsia" w:cstheme="majorEastAsia"/>
                <w:color w:val="auto"/>
                <w:spacing w:val="-1"/>
                <w:sz w:val="18"/>
                <w:szCs w:val="18"/>
                <w:lang w:val="en-US" w:eastAsia="zh-CN"/>
              </w:rPr>
              <w:t>在3个工作日内</w:t>
            </w:r>
            <w:r>
              <w:rPr>
                <w:rFonts w:hint="eastAsia" w:asciiTheme="majorEastAsia" w:hAnsiTheme="majorEastAsia" w:eastAsiaTheme="majorEastAsia" w:cstheme="majorEastAsia"/>
                <w:color w:val="auto"/>
                <w:spacing w:val="-1"/>
                <w:sz w:val="18"/>
                <w:szCs w:val="18"/>
              </w:rPr>
              <w:t>提供符合规格的产品。若成交人拒绝提供，采购人没收其履约保证金，并报同级财政监督管理部门进行处理，由此引发的所有损失由成交人承担。</w:t>
            </w:r>
          </w:p>
          <w:p>
            <w:pPr>
              <w:keepNext w:val="0"/>
              <w:keepLines w:val="0"/>
              <w:pageBreakBefore w:val="0"/>
              <w:kinsoku/>
              <w:wordWrap/>
              <w:overflowPunct/>
              <w:topLinePunct w:val="0"/>
              <w:bidi w:val="0"/>
              <w:snapToGrid/>
              <w:ind w:firstLine="360" w:firstLineChars="200"/>
              <w:textAlignment w:val="auto"/>
              <w:rPr>
                <w:rFonts w:hint="eastAsia"/>
                <w:sz w:val="18"/>
                <w:szCs w:val="18"/>
              </w:rPr>
            </w:pPr>
            <w:r>
              <w:rPr>
                <w:rFonts w:hint="eastAsia"/>
                <w:sz w:val="18"/>
                <w:szCs w:val="18"/>
              </w:rPr>
              <w:t>3、最终验收：货物经安装调试完成且符合技术要求后，甲方进行最终验收。验收时乙方必须在现场。货物符合合同约定的技术规范要求和验收标准的，甲方签署验收合格证明。如货物不符合合同约定的要求的，乙方应当在10日内采取措施消除缺陷后重新申请终验，并承担由此产生的费用。</w:t>
            </w:r>
          </w:p>
          <w:p>
            <w:pPr>
              <w:keepNext w:val="0"/>
              <w:keepLines w:val="0"/>
              <w:pageBreakBefore w:val="0"/>
              <w:kinsoku/>
              <w:wordWrap/>
              <w:overflowPunct/>
              <w:topLinePunct w:val="0"/>
              <w:bidi w:val="0"/>
              <w:snapToGrid/>
              <w:ind w:firstLine="420" w:firstLineChars="200"/>
              <w:textAlignment w:val="auto"/>
              <w:rPr>
                <w:rFonts w:hint="eastAsia"/>
                <w:sz w:val="18"/>
                <w:szCs w:val="18"/>
              </w:rPr>
            </w:pPr>
            <w:r>
              <w:rPr>
                <w:rFonts w:hint="eastAsia"/>
                <w:lang w:val="en-US" w:eastAsia="zh-CN"/>
              </w:rPr>
              <w:t>4</w:t>
            </w:r>
            <w:r>
              <w:rPr>
                <w:rFonts w:hint="eastAsia"/>
                <w:sz w:val="18"/>
                <w:szCs w:val="18"/>
              </w:rPr>
              <w:t>、货物毁损、灭失的风险，自货物最终验收合格之日起由甲方承担。</w:t>
            </w:r>
          </w:p>
          <w:p>
            <w:pPr>
              <w:keepNext w:val="0"/>
              <w:keepLines w:val="0"/>
              <w:pageBreakBefore w:val="0"/>
              <w:kinsoku/>
              <w:wordWrap/>
              <w:overflowPunct/>
              <w:topLinePunct w:val="0"/>
              <w:bidi w:val="0"/>
              <w:snapToGrid/>
              <w:ind w:firstLine="360" w:firstLineChars="200"/>
              <w:textAlignment w:val="auto"/>
              <w:rPr>
                <w:rFonts w:hint="eastAsia"/>
                <w:sz w:val="18"/>
                <w:szCs w:val="18"/>
              </w:rPr>
            </w:pPr>
            <w:r>
              <w:rPr>
                <w:rFonts w:hint="eastAsia"/>
                <w:sz w:val="18"/>
                <w:szCs w:val="18"/>
                <w:lang w:val="en-US" w:eastAsia="zh-CN"/>
              </w:rPr>
              <w:t>5、</w:t>
            </w:r>
            <w:r>
              <w:rPr>
                <w:rFonts w:hint="eastAsia"/>
                <w:sz w:val="18"/>
                <w:szCs w:val="18"/>
              </w:rPr>
              <w:t>按需求参数标准进行验收（包含但不限于采购方经委托专业权威机 构对供应商提供的相关产品随机抽检完全符合国家标准和采购文件技</w:t>
            </w:r>
          </w:p>
          <w:p>
            <w:pPr>
              <w:keepNext w:val="0"/>
              <w:keepLines w:val="0"/>
              <w:pageBreakBefore w:val="0"/>
              <w:kinsoku/>
              <w:wordWrap/>
              <w:overflowPunct/>
              <w:topLinePunct w:val="0"/>
              <w:bidi w:val="0"/>
              <w:snapToGrid/>
              <w:textAlignment w:val="auto"/>
              <w:rPr>
                <w:rFonts w:hint="eastAsia"/>
                <w:sz w:val="18"/>
                <w:szCs w:val="18"/>
              </w:rPr>
            </w:pPr>
            <w:r>
              <w:rPr>
                <w:rFonts w:hint="eastAsia"/>
                <w:sz w:val="18"/>
                <w:szCs w:val="18"/>
              </w:rPr>
              <w:t>术要求）。经抽检检验发现成交人所提供的货物与询价文件要求和报价文件中承诺的技术参数不符的，采购人有权拒绝验收，并要求成交人在7个工作日内提供符合规格的产品。若成交人拒绝提供，采购人没收其履约保证金，并报同级财政监督 管理部门进行处理，由此引发的所有损失由成交人承担。</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b/>
                <w:bCs/>
                <w:kern w:val="0"/>
                <w:sz w:val="18"/>
                <w:szCs w:val="18"/>
              </w:rPr>
            </w:pPr>
            <w:r>
              <w:rPr>
                <w:rFonts w:hint="eastAsia" w:asciiTheme="majorEastAsia" w:hAnsiTheme="majorEastAsia" w:eastAsiaTheme="majorEastAsia" w:cstheme="majorEastAsia"/>
                <w:b/>
                <w:bCs/>
                <w:kern w:val="0"/>
                <w:sz w:val="18"/>
                <w:szCs w:val="18"/>
              </w:rPr>
              <w:t>违约责任</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（一）一般违约责任</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1、任何一方未履行本合同项下的任何一项条款均被视为违约。违约方应承担因自己的违约行为而给守约方造成的经济损失。</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2、如甲方无正当理由未按合同规定向乙方支付合同价款的，每延迟一天，甲方应向乙方支付相当于延迟付款额 3 ‰的违约金。</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 xml:space="preserve">3、因乙方其他违约行为导致甲方解除合同的，乙方应向甲方支付合同总价款 20 %的违约金，如造成甲方损失超过违约金的，超出部分由乙方继续承担赔偿责任。                 </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（二）其他违约责任</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1、本合同项下货物在交货、安装调试、验收及质保期等任何阶段内不符合合同约定的技术规范要求和验收标准的，甲方有权向乙方索赔并选择下列一项或多项补救措施：</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（1）由乙方采取措施消除设备缺陷或不符合合同之处，如果乙方不能及时消除缺陷，甲方有权自行消除缺陷或不符合合同之处，由此产生的一切费用均由乙方承担。</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2）由乙方在接到甲方通知后10日内用符合合同规定的规格、质量和性能要求的新零件、部件和设备更换有缺陷的设备或用新的技术资料替换有错误的技术资料或补供遗漏的设备或技术资料等，乙方应承担一切费用和风险并负担给甲方造成的全部损失。</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（3）根据货物的低劣程度、损坏程度以及甲方所遭受损失的数额，乙方必须降低货物的价格。</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（4）退货，乙方应退还甲方支付的全部合同款，同时应承担该货物的直接费用（运输、保险、检验、货款利息及银行手续费等）。</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2、甲方无正当理由拒收货物的，应向乙方偿付拒收货款总值20%的违约金。</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3、乙方逾期交付货物的，每逾期一日，应按逾期交货总额 3‰向甲方支付违约金。逾期超过约定日期 17日不能交货的，甲方有权解除本合同，并要求乙方支付合同总额 20 %的违约金。</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乙方未在约定时间内完成安装调试的，参照前款约定承担违约责任。</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4、乙方所交付的货物品种、型号、规格、技术参数、质量不符合合同规定及反向竞价文件规定标准的，甲方有权拒收该货物，乙方愿意更换货物但逾期交货的，按乙方逾期交货处理。乙方拒绝更换货物的，甲方可单方面解除合同，并要求乙方支付合同总值 20%的违约金，违约金不足以弥补甲方损失的，乙方还应负责赔偿。</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5、乙方未能按约定要求履行保修义务的，每发生一次应向甲方支付 500元的违约金，同时，甲方有权委托第三方进行保修，所产生的费用由乙方承担。若因货物缺陷或乙方服务质量等问题造成甲方或任何人员人身、财产损害的，乙方应承担有关责任并作出相应赔偿。</w:t>
            </w:r>
          </w:p>
          <w:p>
            <w:pPr>
              <w:keepNext w:val="0"/>
              <w:keepLines w:val="0"/>
              <w:pageBreakBefore w:val="0"/>
              <w:kinsoku/>
              <w:wordWrap/>
              <w:overflowPunct/>
              <w:topLinePunct w:val="0"/>
              <w:bidi w:val="0"/>
              <w:snapToGrid/>
              <w:textAlignment w:val="auto"/>
              <w:rPr>
                <w:rFonts w:hint="eastAsia" w:ascii="Times New Roman" w:hAnsi="Times New Roman" w:eastAsia="宋体" w:cs="Times New Roman"/>
                <w:kern w:val="0"/>
                <w:sz w:val="20"/>
                <w:szCs w:val="20"/>
                <w:lang w:eastAsia="zh-CN"/>
              </w:rPr>
            </w:pPr>
            <w:r>
              <w:rPr>
                <w:rFonts w:hint="eastAsia" w:asciiTheme="majorEastAsia" w:hAnsiTheme="majorEastAsia" w:eastAsiaTheme="majorEastAsia" w:cstheme="majorEastAsia"/>
                <w:kern w:val="0"/>
                <w:sz w:val="18"/>
                <w:szCs w:val="18"/>
                <w:lang w:eastAsia="zh-CN"/>
              </w:rPr>
              <w:t xml:space="preserve"> </w:t>
            </w:r>
          </w:p>
        </w:tc>
      </w:tr>
    </w:tbl>
    <w:p>
      <w:pPr>
        <w:pStyle w:val="9"/>
        <w:keepNext w:val="0"/>
        <w:keepLines w:val="0"/>
        <w:pageBreakBefore w:val="0"/>
        <w:widowControl/>
        <w:kinsoku/>
        <w:wordWrap/>
        <w:overflowPunct/>
        <w:topLinePunct w:val="0"/>
        <w:bidi w:val="0"/>
        <w:snapToGrid/>
        <w:spacing w:line="555" w:lineRule="atLeast"/>
        <w:textAlignment w:val="auto"/>
        <w:rPr>
          <w:rStyle w:val="14"/>
          <w:rFonts w:hint="eastAsia" w:asciiTheme="majorEastAsia" w:hAnsiTheme="majorEastAsia" w:eastAsiaTheme="majorEastAsia" w:cstheme="majorEastAsia"/>
          <w:color w:val="333333"/>
          <w:sz w:val="18"/>
          <w:szCs w:val="18"/>
          <w:shd w:val="clear" w:color="auto" w:fill="FFFFFF"/>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4099594"/>
    </w:sdtPr>
    <w:sdtContent>
      <w:sdt>
        <w:sdtPr>
          <w:id w:val="171357217"/>
        </w:sdtPr>
        <w:sdtContent>
          <w:p>
            <w:pPr>
              <w:pStyle w:val="7"/>
              <w:jc w:val="center"/>
            </w:pP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p>
        </w:sdtContent>
      </w:sdt>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dhMzY4ZjllYTA3Mzg1NWY2ZDY5NDZkZGUzOTAwNDEifQ=="/>
  </w:docVars>
  <w:rsids>
    <w:rsidRoot w:val="00172A27"/>
    <w:rsid w:val="00002994"/>
    <w:rsid w:val="000102D3"/>
    <w:rsid w:val="000122D9"/>
    <w:rsid w:val="0001736C"/>
    <w:rsid w:val="00021BD6"/>
    <w:rsid w:val="00024A4E"/>
    <w:rsid w:val="000408C1"/>
    <w:rsid w:val="00047C0E"/>
    <w:rsid w:val="00056B5E"/>
    <w:rsid w:val="000808B9"/>
    <w:rsid w:val="0008130F"/>
    <w:rsid w:val="00082409"/>
    <w:rsid w:val="00082EF6"/>
    <w:rsid w:val="00087E6F"/>
    <w:rsid w:val="00092BBF"/>
    <w:rsid w:val="000953D5"/>
    <w:rsid w:val="000A3D19"/>
    <w:rsid w:val="000A5D39"/>
    <w:rsid w:val="000C4E31"/>
    <w:rsid w:val="000E64E3"/>
    <w:rsid w:val="000F6927"/>
    <w:rsid w:val="0010348A"/>
    <w:rsid w:val="00110A81"/>
    <w:rsid w:val="00127AFC"/>
    <w:rsid w:val="00133620"/>
    <w:rsid w:val="00150216"/>
    <w:rsid w:val="00156346"/>
    <w:rsid w:val="0017414C"/>
    <w:rsid w:val="001B37D8"/>
    <w:rsid w:val="001C0A0B"/>
    <w:rsid w:val="001C5E3E"/>
    <w:rsid w:val="001D0CC4"/>
    <w:rsid w:val="001D3CF7"/>
    <w:rsid w:val="001D40D9"/>
    <w:rsid w:val="001D7525"/>
    <w:rsid w:val="001F1305"/>
    <w:rsid w:val="00204020"/>
    <w:rsid w:val="00213F4E"/>
    <w:rsid w:val="002310AC"/>
    <w:rsid w:val="00232C58"/>
    <w:rsid w:val="00253977"/>
    <w:rsid w:val="002562E1"/>
    <w:rsid w:val="00266758"/>
    <w:rsid w:val="00270F4D"/>
    <w:rsid w:val="0027639E"/>
    <w:rsid w:val="002A648D"/>
    <w:rsid w:val="002C48D1"/>
    <w:rsid w:val="00312577"/>
    <w:rsid w:val="00351A5E"/>
    <w:rsid w:val="003661FD"/>
    <w:rsid w:val="003D1DCB"/>
    <w:rsid w:val="003D7CA4"/>
    <w:rsid w:val="003E619F"/>
    <w:rsid w:val="00401437"/>
    <w:rsid w:val="004071AF"/>
    <w:rsid w:val="0040787D"/>
    <w:rsid w:val="004167FA"/>
    <w:rsid w:val="00431E0E"/>
    <w:rsid w:val="00435453"/>
    <w:rsid w:val="00474A3B"/>
    <w:rsid w:val="0048288D"/>
    <w:rsid w:val="0048565F"/>
    <w:rsid w:val="004D446A"/>
    <w:rsid w:val="004D6593"/>
    <w:rsid w:val="004E3B7E"/>
    <w:rsid w:val="004E5F3B"/>
    <w:rsid w:val="005166BE"/>
    <w:rsid w:val="0052249A"/>
    <w:rsid w:val="00527033"/>
    <w:rsid w:val="00547DDF"/>
    <w:rsid w:val="0055287B"/>
    <w:rsid w:val="005650B2"/>
    <w:rsid w:val="005C6D2A"/>
    <w:rsid w:val="005E1921"/>
    <w:rsid w:val="005E4818"/>
    <w:rsid w:val="005E4C14"/>
    <w:rsid w:val="005E4ECB"/>
    <w:rsid w:val="00603052"/>
    <w:rsid w:val="006128DF"/>
    <w:rsid w:val="00624C0D"/>
    <w:rsid w:val="00651D11"/>
    <w:rsid w:val="00660F53"/>
    <w:rsid w:val="00681F69"/>
    <w:rsid w:val="00691732"/>
    <w:rsid w:val="006A4493"/>
    <w:rsid w:val="006C62A8"/>
    <w:rsid w:val="006D028E"/>
    <w:rsid w:val="006D1F21"/>
    <w:rsid w:val="006E0179"/>
    <w:rsid w:val="006E297E"/>
    <w:rsid w:val="006E3CF1"/>
    <w:rsid w:val="006E6C19"/>
    <w:rsid w:val="00710C8F"/>
    <w:rsid w:val="00713BA1"/>
    <w:rsid w:val="007270EA"/>
    <w:rsid w:val="00733E15"/>
    <w:rsid w:val="0075181E"/>
    <w:rsid w:val="00780464"/>
    <w:rsid w:val="007828C7"/>
    <w:rsid w:val="007942C7"/>
    <w:rsid w:val="007A4C72"/>
    <w:rsid w:val="007B21E3"/>
    <w:rsid w:val="007B4626"/>
    <w:rsid w:val="007C5205"/>
    <w:rsid w:val="00801CC6"/>
    <w:rsid w:val="0080519D"/>
    <w:rsid w:val="00830BFD"/>
    <w:rsid w:val="00835CD1"/>
    <w:rsid w:val="00853064"/>
    <w:rsid w:val="00857045"/>
    <w:rsid w:val="00871030"/>
    <w:rsid w:val="0087617E"/>
    <w:rsid w:val="008B090F"/>
    <w:rsid w:val="008D14DD"/>
    <w:rsid w:val="008D28D6"/>
    <w:rsid w:val="008E356A"/>
    <w:rsid w:val="008E6872"/>
    <w:rsid w:val="008F2BB9"/>
    <w:rsid w:val="00921188"/>
    <w:rsid w:val="009254E6"/>
    <w:rsid w:val="00933947"/>
    <w:rsid w:val="00954DF6"/>
    <w:rsid w:val="0097172A"/>
    <w:rsid w:val="00973544"/>
    <w:rsid w:val="00976B0B"/>
    <w:rsid w:val="00980C1A"/>
    <w:rsid w:val="00991123"/>
    <w:rsid w:val="009A0046"/>
    <w:rsid w:val="009A0E5A"/>
    <w:rsid w:val="009A4990"/>
    <w:rsid w:val="009E24CA"/>
    <w:rsid w:val="009E40CD"/>
    <w:rsid w:val="009E469C"/>
    <w:rsid w:val="00A173CF"/>
    <w:rsid w:val="00A25973"/>
    <w:rsid w:val="00A53111"/>
    <w:rsid w:val="00A82D07"/>
    <w:rsid w:val="00A86CD0"/>
    <w:rsid w:val="00A91344"/>
    <w:rsid w:val="00AC4CAC"/>
    <w:rsid w:val="00AC7DAE"/>
    <w:rsid w:val="00AE3912"/>
    <w:rsid w:val="00B07709"/>
    <w:rsid w:val="00B11EDA"/>
    <w:rsid w:val="00B12D00"/>
    <w:rsid w:val="00B17646"/>
    <w:rsid w:val="00B25E09"/>
    <w:rsid w:val="00B81F9C"/>
    <w:rsid w:val="00B86469"/>
    <w:rsid w:val="00B95E1D"/>
    <w:rsid w:val="00B96A3E"/>
    <w:rsid w:val="00BA474A"/>
    <w:rsid w:val="00BA4D04"/>
    <w:rsid w:val="00BB058F"/>
    <w:rsid w:val="00BB208F"/>
    <w:rsid w:val="00BD4895"/>
    <w:rsid w:val="00BD6001"/>
    <w:rsid w:val="00BE601F"/>
    <w:rsid w:val="00BF406C"/>
    <w:rsid w:val="00BF531C"/>
    <w:rsid w:val="00C14009"/>
    <w:rsid w:val="00C30E63"/>
    <w:rsid w:val="00C445BC"/>
    <w:rsid w:val="00C671A9"/>
    <w:rsid w:val="00C713CC"/>
    <w:rsid w:val="00C75936"/>
    <w:rsid w:val="00C81107"/>
    <w:rsid w:val="00C92655"/>
    <w:rsid w:val="00CB26C2"/>
    <w:rsid w:val="00CE11B5"/>
    <w:rsid w:val="00CF4136"/>
    <w:rsid w:val="00CF77EF"/>
    <w:rsid w:val="00D13A3C"/>
    <w:rsid w:val="00D20611"/>
    <w:rsid w:val="00D24B5D"/>
    <w:rsid w:val="00D36B28"/>
    <w:rsid w:val="00D44D05"/>
    <w:rsid w:val="00D457A7"/>
    <w:rsid w:val="00D71E77"/>
    <w:rsid w:val="00D84986"/>
    <w:rsid w:val="00D9050C"/>
    <w:rsid w:val="00DC72FA"/>
    <w:rsid w:val="00DE3942"/>
    <w:rsid w:val="00DE62C0"/>
    <w:rsid w:val="00DF3090"/>
    <w:rsid w:val="00DF3C24"/>
    <w:rsid w:val="00DF428B"/>
    <w:rsid w:val="00E0409A"/>
    <w:rsid w:val="00E11FB9"/>
    <w:rsid w:val="00E12ED2"/>
    <w:rsid w:val="00E25AAB"/>
    <w:rsid w:val="00E44071"/>
    <w:rsid w:val="00E4439D"/>
    <w:rsid w:val="00E72E28"/>
    <w:rsid w:val="00EB7ADE"/>
    <w:rsid w:val="00EC277A"/>
    <w:rsid w:val="00EE293F"/>
    <w:rsid w:val="00EE355B"/>
    <w:rsid w:val="00EE6160"/>
    <w:rsid w:val="00EF299F"/>
    <w:rsid w:val="00EF6487"/>
    <w:rsid w:val="00F20CDC"/>
    <w:rsid w:val="00F25E3C"/>
    <w:rsid w:val="00F26972"/>
    <w:rsid w:val="00F304C0"/>
    <w:rsid w:val="00F330CB"/>
    <w:rsid w:val="00F348C2"/>
    <w:rsid w:val="00F5062C"/>
    <w:rsid w:val="00F56375"/>
    <w:rsid w:val="00F73016"/>
    <w:rsid w:val="00F92D4B"/>
    <w:rsid w:val="00F94F4A"/>
    <w:rsid w:val="00FB02B1"/>
    <w:rsid w:val="00FB3DFA"/>
    <w:rsid w:val="00FD620A"/>
    <w:rsid w:val="0163247B"/>
    <w:rsid w:val="050B0AD1"/>
    <w:rsid w:val="052E1184"/>
    <w:rsid w:val="06856661"/>
    <w:rsid w:val="09287D76"/>
    <w:rsid w:val="09E37FB3"/>
    <w:rsid w:val="0A0F5BB5"/>
    <w:rsid w:val="0C93343B"/>
    <w:rsid w:val="0CF34325"/>
    <w:rsid w:val="0D6768FE"/>
    <w:rsid w:val="0E6F05D1"/>
    <w:rsid w:val="0F074FAA"/>
    <w:rsid w:val="13A35EFE"/>
    <w:rsid w:val="15333719"/>
    <w:rsid w:val="157A4E35"/>
    <w:rsid w:val="15A6480D"/>
    <w:rsid w:val="1608351E"/>
    <w:rsid w:val="191305D6"/>
    <w:rsid w:val="19771562"/>
    <w:rsid w:val="1DF613D3"/>
    <w:rsid w:val="1E38372E"/>
    <w:rsid w:val="20A0716E"/>
    <w:rsid w:val="21E9568B"/>
    <w:rsid w:val="253908EB"/>
    <w:rsid w:val="26A022EB"/>
    <w:rsid w:val="278E005D"/>
    <w:rsid w:val="288B42E2"/>
    <w:rsid w:val="28AB0346"/>
    <w:rsid w:val="2FEC2936"/>
    <w:rsid w:val="30175C86"/>
    <w:rsid w:val="3038292B"/>
    <w:rsid w:val="317057B1"/>
    <w:rsid w:val="31C679AA"/>
    <w:rsid w:val="33C45A33"/>
    <w:rsid w:val="33F53549"/>
    <w:rsid w:val="35977693"/>
    <w:rsid w:val="375810A4"/>
    <w:rsid w:val="380D0BCE"/>
    <w:rsid w:val="38290730"/>
    <w:rsid w:val="393E2E94"/>
    <w:rsid w:val="3BDC4EF4"/>
    <w:rsid w:val="41842ED7"/>
    <w:rsid w:val="41E80EEB"/>
    <w:rsid w:val="44AD530E"/>
    <w:rsid w:val="44E060C2"/>
    <w:rsid w:val="46F34946"/>
    <w:rsid w:val="4708796F"/>
    <w:rsid w:val="47283916"/>
    <w:rsid w:val="480D1A37"/>
    <w:rsid w:val="4A8C26DF"/>
    <w:rsid w:val="508F329F"/>
    <w:rsid w:val="52264F17"/>
    <w:rsid w:val="527B4618"/>
    <w:rsid w:val="52B813CD"/>
    <w:rsid w:val="52D653D6"/>
    <w:rsid w:val="553920BD"/>
    <w:rsid w:val="58950377"/>
    <w:rsid w:val="58E50BA2"/>
    <w:rsid w:val="598B674F"/>
    <w:rsid w:val="5A690D4F"/>
    <w:rsid w:val="5B8E2CD1"/>
    <w:rsid w:val="5C4E46A0"/>
    <w:rsid w:val="5C6F32CA"/>
    <w:rsid w:val="5D5E44AA"/>
    <w:rsid w:val="60BD1DF5"/>
    <w:rsid w:val="62303826"/>
    <w:rsid w:val="628F7431"/>
    <w:rsid w:val="647F434B"/>
    <w:rsid w:val="65B80637"/>
    <w:rsid w:val="66594FAB"/>
    <w:rsid w:val="66FB5425"/>
    <w:rsid w:val="67D866A0"/>
    <w:rsid w:val="69D11AAC"/>
    <w:rsid w:val="6C28527F"/>
    <w:rsid w:val="6D6123F1"/>
    <w:rsid w:val="71F63F33"/>
    <w:rsid w:val="7357203A"/>
    <w:rsid w:val="75287D2D"/>
    <w:rsid w:val="75352A78"/>
    <w:rsid w:val="77B11D16"/>
    <w:rsid w:val="77FA7033"/>
    <w:rsid w:val="7835786E"/>
    <w:rsid w:val="7B60237F"/>
    <w:rsid w:val="7C2B051C"/>
    <w:rsid w:val="7CDA58DC"/>
    <w:rsid w:val="7DD76CAF"/>
    <w:rsid w:val="7E215319"/>
    <w:rsid w:val="7F8D211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0" w:name="HTML Keyboard"/>
    <w:lsdException w:uiPriority="0" w:name="HTML Preformatted"/>
    <w:lsdException w:uiPriority="0" w:name="HTML Sample"/>
    <w:lsdException w:uiPriority="0" w:name="HTML Typewriter"/>
    <w:lsdException w:qFormat="1" w:unhideWhenUsed="0" w:uiPriority="0" w:semiHidden="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jc w:val="left"/>
      <w:outlineLvl w:val="1"/>
    </w:pPr>
    <w:rPr>
      <w:rFonts w:hint="eastAsia" w:ascii="宋体" w:hAnsi="宋体" w:eastAsia="宋体" w:cs="Times New Roman"/>
      <w:kern w:val="0"/>
      <w:sz w:val="24"/>
    </w:rPr>
  </w:style>
  <w:style w:type="paragraph" w:styleId="3">
    <w:name w:val="heading 4"/>
    <w:basedOn w:val="1"/>
    <w:next w:val="1"/>
    <w:unhideWhenUsed/>
    <w:qFormat/>
    <w:uiPriority w:val="0"/>
    <w:pPr>
      <w:jc w:val="left"/>
      <w:outlineLvl w:val="3"/>
    </w:pPr>
    <w:rPr>
      <w:rFonts w:hint="eastAsia" w:ascii="宋体" w:hAnsi="宋体" w:eastAsia="宋体" w:cs="Times New Roman"/>
      <w:kern w:val="0"/>
      <w:sz w:val="24"/>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4"/>
    <w:unhideWhenUsed/>
    <w:qFormat/>
    <w:uiPriority w:val="0"/>
    <w:pPr>
      <w:jc w:val="left"/>
    </w:pPr>
  </w:style>
  <w:style w:type="paragraph" w:styleId="5">
    <w:name w:val="Plain Text"/>
    <w:basedOn w:val="1"/>
    <w:link w:val="31"/>
    <w:qFormat/>
    <w:uiPriority w:val="0"/>
    <w:rPr>
      <w:rFonts w:ascii="宋体" w:hAnsi="Courier New" w:eastAsia="宋体" w:cs="Courier New"/>
      <w:kern w:val="0"/>
      <w:sz w:val="20"/>
      <w:szCs w:val="21"/>
    </w:rPr>
  </w:style>
  <w:style w:type="paragraph" w:styleId="6">
    <w:name w:val="Balloon Text"/>
    <w:basedOn w:val="1"/>
    <w:link w:val="36"/>
    <w:unhideWhenUsed/>
    <w:qFormat/>
    <w:uiPriority w:val="0"/>
    <w:rPr>
      <w:sz w:val="18"/>
      <w:szCs w:val="18"/>
    </w:rPr>
  </w:style>
  <w:style w:type="paragraph" w:styleId="7">
    <w:name w:val="footer"/>
    <w:basedOn w:val="1"/>
    <w:link w:val="29"/>
    <w:qFormat/>
    <w:uiPriority w:val="99"/>
    <w:pPr>
      <w:tabs>
        <w:tab w:val="center" w:pos="4153"/>
        <w:tab w:val="right" w:pos="8306"/>
      </w:tabs>
      <w:snapToGrid w:val="0"/>
      <w:jc w:val="left"/>
    </w:pPr>
    <w:rPr>
      <w:sz w:val="18"/>
      <w:szCs w:val="18"/>
    </w:rPr>
  </w:style>
  <w:style w:type="paragraph" w:styleId="8">
    <w:name w:val="header"/>
    <w:basedOn w:val="1"/>
    <w:link w:val="28"/>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99"/>
    <w:pPr>
      <w:jc w:val="left"/>
    </w:pPr>
    <w:rPr>
      <w:rFonts w:cs="Times New Roman"/>
      <w:kern w:val="0"/>
      <w:sz w:val="24"/>
    </w:rPr>
  </w:style>
  <w:style w:type="paragraph" w:styleId="10">
    <w:name w:val="annotation subject"/>
    <w:basedOn w:val="4"/>
    <w:next w:val="4"/>
    <w:link w:val="35"/>
    <w:unhideWhenUsed/>
    <w:qFormat/>
    <w:uiPriority w:val="0"/>
    <w:rPr>
      <w:b/>
      <w:bCs/>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FollowedHyperlink"/>
    <w:basedOn w:val="13"/>
    <w:qFormat/>
    <w:uiPriority w:val="0"/>
    <w:rPr>
      <w:color w:val="333333"/>
      <w:u w:val="none"/>
    </w:rPr>
  </w:style>
  <w:style w:type="character" w:styleId="16">
    <w:name w:val="Emphasis"/>
    <w:basedOn w:val="13"/>
    <w:qFormat/>
    <w:uiPriority w:val="0"/>
  </w:style>
  <w:style w:type="character" w:styleId="17">
    <w:name w:val="HTML Definition"/>
    <w:basedOn w:val="13"/>
    <w:qFormat/>
    <w:uiPriority w:val="0"/>
  </w:style>
  <w:style w:type="character" w:styleId="18">
    <w:name w:val="HTML Acronym"/>
    <w:basedOn w:val="13"/>
    <w:qFormat/>
    <w:uiPriority w:val="0"/>
  </w:style>
  <w:style w:type="character" w:styleId="19">
    <w:name w:val="HTML Variable"/>
    <w:basedOn w:val="13"/>
    <w:qFormat/>
    <w:uiPriority w:val="0"/>
  </w:style>
  <w:style w:type="character" w:styleId="20">
    <w:name w:val="Hyperlink"/>
    <w:basedOn w:val="13"/>
    <w:qFormat/>
    <w:uiPriority w:val="0"/>
    <w:rPr>
      <w:color w:val="333333"/>
      <w:u w:val="none"/>
    </w:rPr>
  </w:style>
  <w:style w:type="character" w:styleId="21">
    <w:name w:val="HTML Code"/>
    <w:basedOn w:val="13"/>
    <w:qFormat/>
    <w:uiPriority w:val="0"/>
    <w:rPr>
      <w:rFonts w:ascii="Courier New" w:hAnsi="Courier New"/>
      <w:sz w:val="20"/>
    </w:rPr>
  </w:style>
  <w:style w:type="character" w:styleId="22">
    <w:name w:val="annotation reference"/>
    <w:basedOn w:val="13"/>
    <w:unhideWhenUsed/>
    <w:qFormat/>
    <w:uiPriority w:val="0"/>
    <w:rPr>
      <w:sz w:val="21"/>
      <w:szCs w:val="21"/>
    </w:rPr>
  </w:style>
  <w:style w:type="character" w:styleId="23">
    <w:name w:val="HTML Cite"/>
    <w:basedOn w:val="13"/>
    <w:qFormat/>
    <w:uiPriority w:val="0"/>
  </w:style>
  <w:style w:type="character" w:customStyle="1" w:styleId="24">
    <w:name w:val="current"/>
    <w:basedOn w:val="13"/>
    <w:qFormat/>
    <w:uiPriority w:val="0"/>
    <w:rPr>
      <w:b/>
      <w:bCs/>
      <w:color w:val="FFFFFF"/>
      <w:bdr w:val="single" w:color="7D6543" w:sz="6" w:space="0"/>
      <w:shd w:val="clear" w:color="auto" w:fill="7D6543"/>
    </w:rPr>
  </w:style>
  <w:style w:type="character" w:customStyle="1" w:styleId="25">
    <w:name w:val="disabled"/>
    <w:basedOn w:val="13"/>
    <w:qFormat/>
    <w:uiPriority w:val="0"/>
    <w:rPr>
      <w:color w:val="999999"/>
      <w:bdr w:val="single" w:color="C5C5C5" w:sz="6" w:space="0"/>
    </w:rPr>
  </w:style>
  <w:style w:type="character" w:customStyle="1" w:styleId="26">
    <w:name w:val="font11"/>
    <w:basedOn w:val="13"/>
    <w:qFormat/>
    <w:uiPriority w:val="0"/>
    <w:rPr>
      <w:rFonts w:hint="eastAsia" w:ascii="宋体" w:hAnsi="宋体" w:eastAsia="宋体" w:cs="宋体"/>
      <w:color w:val="000000"/>
      <w:sz w:val="24"/>
      <w:szCs w:val="24"/>
      <w:u w:val="none"/>
    </w:rPr>
  </w:style>
  <w:style w:type="character" w:customStyle="1" w:styleId="27">
    <w:name w:val="font31"/>
    <w:basedOn w:val="13"/>
    <w:qFormat/>
    <w:uiPriority w:val="0"/>
    <w:rPr>
      <w:rFonts w:hint="eastAsia" w:ascii="宋体" w:hAnsi="宋体" w:eastAsia="宋体" w:cs="宋体"/>
      <w:color w:val="000000"/>
      <w:sz w:val="24"/>
      <w:szCs w:val="24"/>
      <w:u w:val="none"/>
    </w:rPr>
  </w:style>
  <w:style w:type="character" w:customStyle="1" w:styleId="28">
    <w:name w:val="页眉 字符"/>
    <w:basedOn w:val="13"/>
    <w:link w:val="8"/>
    <w:qFormat/>
    <w:uiPriority w:val="99"/>
    <w:rPr>
      <w:rFonts w:asciiTheme="minorHAnsi" w:hAnsiTheme="minorHAnsi" w:eastAsiaTheme="minorEastAsia" w:cstheme="minorBidi"/>
      <w:kern w:val="2"/>
      <w:sz w:val="18"/>
      <w:szCs w:val="18"/>
    </w:rPr>
  </w:style>
  <w:style w:type="character" w:customStyle="1" w:styleId="29">
    <w:name w:val="页脚 字符"/>
    <w:basedOn w:val="13"/>
    <w:link w:val="7"/>
    <w:qFormat/>
    <w:uiPriority w:val="99"/>
    <w:rPr>
      <w:rFonts w:asciiTheme="minorHAnsi" w:hAnsiTheme="minorHAnsi" w:eastAsiaTheme="minorEastAsia" w:cstheme="minorBidi"/>
      <w:kern w:val="2"/>
      <w:sz w:val="18"/>
      <w:szCs w:val="18"/>
    </w:rPr>
  </w:style>
  <w:style w:type="paragraph" w:customStyle="1" w:styleId="30">
    <w:name w:val="列出段落1"/>
    <w:basedOn w:val="1"/>
    <w:unhideWhenUsed/>
    <w:qFormat/>
    <w:uiPriority w:val="99"/>
    <w:pPr>
      <w:ind w:firstLine="420" w:firstLineChars="200"/>
    </w:pPr>
  </w:style>
  <w:style w:type="character" w:customStyle="1" w:styleId="31">
    <w:name w:val="纯文本 字符"/>
    <w:basedOn w:val="13"/>
    <w:link w:val="5"/>
    <w:qFormat/>
    <w:uiPriority w:val="0"/>
    <w:rPr>
      <w:rFonts w:ascii="宋体" w:hAnsi="Courier New" w:cs="Courier New"/>
      <w:szCs w:val="21"/>
    </w:rPr>
  </w:style>
  <w:style w:type="paragraph" w:customStyle="1" w:styleId="32">
    <w:name w:val="无间隔1"/>
    <w:link w:val="33"/>
    <w:qFormat/>
    <w:uiPriority w:val="1"/>
    <w:rPr>
      <w:rFonts w:asciiTheme="minorHAnsi" w:hAnsiTheme="minorHAnsi" w:eastAsiaTheme="minorEastAsia" w:cstheme="minorBidi"/>
      <w:sz w:val="22"/>
      <w:szCs w:val="22"/>
      <w:lang w:val="en-US" w:eastAsia="zh-CN" w:bidi="ar-SA"/>
    </w:rPr>
  </w:style>
  <w:style w:type="character" w:customStyle="1" w:styleId="33">
    <w:name w:val="无间隔 Char"/>
    <w:basedOn w:val="13"/>
    <w:link w:val="32"/>
    <w:qFormat/>
    <w:uiPriority w:val="1"/>
    <w:rPr>
      <w:rFonts w:asciiTheme="minorHAnsi" w:hAnsiTheme="minorHAnsi" w:eastAsiaTheme="minorEastAsia" w:cstheme="minorBidi"/>
      <w:sz w:val="22"/>
      <w:szCs w:val="22"/>
    </w:rPr>
  </w:style>
  <w:style w:type="character" w:customStyle="1" w:styleId="34">
    <w:name w:val="批注文字 字符"/>
    <w:basedOn w:val="13"/>
    <w:link w:val="4"/>
    <w:semiHidden/>
    <w:qFormat/>
    <w:uiPriority w:val="0"/>
    <w:rPr>
      <w:rFonts w:asciiTheme="minorHAnsi" w:hAnsiTheme="minorHAnsi" w:eastAsiaTheme="minorEastAsia" w:cstheme="minorBidi"/>
      <w:kern w:val="2"/>
      <w:sz w:val="21"/>
      <w:szCs w:val="24"/>
    </w:rPr>
  </w:style>
  <w:style w:type="character" w:customStyle="1" w:styleId="35">
    <w:name w:val="批注主题 字符"/>
    <w:basedOn w:val="34"/>
    <w:link w:val="10"/>
    <w:semiHidden/>
    <w:qFormat/>
    <w:uiPriority w:val="0"/>
    <w:rPr>
      <w:rFonts w:asciiTheme="minorHAnsi" w:hAnsiTheme="minorHAnsi" w:eastAsiaTheme="minorEastAsia" w:cstheme="minorBidi"/>
      <w:b/>
      <w:bCs/>
      <w:kern w:val="2"/>
      <w:sz w:val="21"/>
      <w:szCs w:val="24"/>
    </w:rPr>
  </w:style>
  <w:style w:type="character" w:customStyle="1" w:styleId="36">
    <w:name w:val="批注框文本 字符"/>
    <w:basedOn w:val="13"/>
    <w:link w:val="6"/>
    <w:semiHidden/>
    <w:qFormat/>
    <w:uiPriority w:val="0"/>
    <w:rPr>
      <w:rFonts w:asciiTheme="minorHAnsi" w:hAnsiTheme="minorHAnsi" w:eastAsiaTheme="minorEastAsia" w:cstheme="minorBidi"/>
      <w:kern w:val="2"/>
      <w:sz w:val="18"/>
      <w:szCs w:val="18"/>
    </w:rPr>
  </w:style>
  <w:style w:type="paragraph" w:customStyle="1" w:styleId="37">
    <w:name w:val="列出段落11"/>
    <w:basedOn w:val="1"/>
    <w:qFormat/>
    <w:uiPriority w:val="34"/>
    <w:pPr>
      <w:ind w:firstLine="420" w:firstLineChars="200"/>
    </w:pPr>
    <w:rPr>
      <w:rFonts w:ascii="Times New Roman" w:hAnsi="Times New Roman" w:eastAsia="宋体" w:cs="Times New Roman"/>
    </w:rPr>
  </w:style>
  <w:style w:type="paragraph" w:customStyle="1" w:styleId="38">
    <w:name w:val="Table Text"/>
    <w:basedOn w:val="1"/>
    <w:semiHidden/>
    <w:qFormat/>
    <w:uiPriority w:val="0"/>
    <w:rPr>
      <w:rFonts w:ascii="仿宋" w:hAnsi="仿宋" w:eastAsia="仿宋" w:cs="仿宋"/>
      <w:sz w:val="24"/>
      <w:szCs w:val="24"/>
      <w:lang w:val="en-US" w:eastAsia="en-US" w:bidi="ar-SA"/>
    </w:rPr>
  </w:style>
  <w:style w:type="table" w:customStyle="1" w:styleId="39">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781FD-E884-4FF0-AACD-D4E238F5082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Pages>
  <Words>2043</Words>
  <Characters>2144</Characters>
  <Lines>1</Lines>
  <Paragraphs>1</Paragraphs>
  <TotalTime>23</TotalTime>
  <ScaleCrop>false</ScaleCrop>
  <LinksUpToDate>false</LinksUpToDate>
  <CharactersWithSpaces>2193</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2024-03-20T00:13:00Z</dcterms:created>
  <dc:creator>Administrator</dc:creator>
  <cp:lastModifiedBy>Delete。</cp:lastModifiedBy>
  <cp:lastPrinted>2024-11-05T08:26:00Z</cp:lastPrinted>
  <dcterms:modified xsi:type="dcterms:W3CDTF">2024-12-12T01:26:47Z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19CE6C4B7F8A43C7981FA066754F118C</vt:lpwstr>
  </property>
</Properties>
</file>