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726AD9">
      <w:pPr>
        <w:widowControl/>
        <w:spacing w:after="75"/>
        <w:jc w:val="center"/>
        <w:rPr>
          <w:rFonts w:hint="eastAsia" w:ascii="微软雅黑" w:hAnsi="微软雅黑" w:eastAsia="微软雅黑" w:cs="微软雅黑"/>
          <w:b/>
          <w:bCs/>
          <w:sz w:val="36"/>
          <w:szCs w:val="36"/>
        </w:rPr>
      </w:pPr>
      <w:r>
        <w:rPr>
          <w:rFonts w:hint="eastAsia" w:ascii="微软雅黑" w:hAnsi="微软雅黑" w:eastAsia="微软雅黑" w:cs="微软雅黑"/>
          <w:b/>
          <w:bCs/>
          <w:kern w:val="0"/>
          <w:sz w:val="36"/>
          <w:szCs w:val="36"/>
          <w:lang w:bidi="ar"/>
        </w:rPr>
        <w:t>广西中医药大学2026年医学信息工程和健康服务与管理专业实验室教学配套设备采购项目需求征集公告</w:t>
      </w:r>
    </w:p>
    <w:p w14:paraId="1EDDA350">
      <w:pPr>
        <w:widowControl/>
        <w:spacing w:line="440" w:lineRule="exact"/>
        <w:jc w:val="left"/>
        <w:rPr>
          <w:rFonts w:hint="eastAsia" w:ascii="黑体" w:hAnsi="黑体" w:eastAsia="黑体" w:cs="宋体"/>
          <w:bCs/>
          <w:sz w:val="32"/>
          <w:szCs w:val="32"/>
        </w:rPr>
      </w:pPr>
      <w:bookmarkStart w:id="0" w:name="_GoBack"/>
      <w:bookmarkEnd w:id="0"/>
      <w:r>
        <w:rPr>
          <w:rStyle w:val="7"/>
          <w:rFonts w:hint="eastAsia" w:ascii="微软雅黑" w:hAnsi="微软雅黑" w:eastAsia="微软雅黑" w:cs="微软雅黑"/>
          <w:sz w:val="24"/>
        </w:rPr>
        <w:t>     </w:t>
      </w:r>
      <w:r>
        <w:rPr>
          <w:rFonts w:hint="eastAsia" w:ascii="黑体" w:hAnsi="黑体" w:eastAsia="黑体" w:cs="宋体"/>
          <w:bCs/>
          <w:sz w:val="32"/>
          <w:szCs w:val="32"/>
        </w:rPr>
        <w:t>附件</w:t>
      </w:r>
    </w:p>
    <w:p w14:paraId="1C0FF6E6">
      <w:pPr>
        <w:widowControl/>
        <w:spacing w:line="460" w:lineRule="exact"/>
        <w:jc w:val="center"/>
        <w:rPr>
          <w:rFonts w:hint="eastAsia" w:ascii="方正小标宋简体" w:hAnsi="宋体" w:eastAsia="方正小标宋简体" w:cs="宋体"/>
          <w:bCs/>
          <w:sz w:val="44"/>
          <w:szCs w:val="44"/>
        </w:rPr>
      </w:pPr>
      <w:r>
        <w:rPr>
          <w:rFonts w:hint="eastAsia" w:ascii="方正小标宋简体" w:hAnsi="宋体" w:eastAsia="方正小标宋简体" w:cs="宋体"/>
          <w:bCs/>
          <w:sz w:val="44"/>
          <w:szCs w:val="44"/>
        </w:rPr>
        <w:t>需求征集明细表</w:t>
      </w:r>
    </w:p>
    <w:tbl>
      <w:tblPr>
        <w:tblStyle w:val="5"/>
        <w:tblW w:w="4956" w:type="pct"/>
        <w:tblInd w:w="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25"/>
        <w:gridCol w:w="325"/>
        <w:gridCol w:w="1614"/>
        <w:gridCol w:w="4774"/>
        <w:gridCol w:w="221"/>
        <w:gridCol w:w="221"/>
        <w:gridCol w:w="433"/>
        <w:gridCol w:w="433"/>
      </w:tblGrid>
      <w:tr w14:paraId="71A9C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000" w:type="pct"/>
            <w:gridSpan w:val="8"/>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385122A0">
            <w:pPr>
              <w:snapToGrid w:val="0"/>
              <w:jc w:val="left"/>
              <w:rPr>
                <w:rFonts w:hint="eastAsia" w:ascii="宋体" w:hAnsi="宋体"/>
                <w:b/>
                <w:bCs/>
                <w:szCs w:val="21"/>
              </w:rPr>
            </w:pPr>
            <w:r>
              <w:rPr>
                <w:rFonts w:hint="eastAsia" w:ascii="宋体" w:hAnsi="宋体"/>
                <w:b/>
                <w:bCs/>
                <w:szCs w:val="21"/>
              </w:rPr>
              <w:t>一、技术要求</w:t>
            </w:r>
          </w:p>
        </w:tc>
      </w:tr>
      <w:tr w14:paraId="163D8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9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7D74D9CB">
            <w:pPr>
              <w:snapToGrid w:val="0"/>
              <w:jc w:val="center"/>
              <w:rPr>
                <w:rFonts w:hint="eastAsia" w:ascii="宋体" w:hAnsi="宋体"/>
                <w:b/>
                <w:bCs/>
                <w:szCs w:val="21"/>
              </w:rPr>
            </w:pPr>
            <w:r>
              <w:rPr>
                <w:rFonts w:hint="eastAsia" w:ascii="宋体" w:hAnsi="宋体"/>
                <w:b/>
                <w:bCs/>
                <w:szCs w:val="21"/>
              </w:rPr>
              <w:t>序号</w:t>
            </w:r>
          </w:p>
        </w:tc>
        <w:tc>
          <w:tcPr>
            <w:tcW w:w="19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8853850">
            <w:pPr>
              <w:snapToGrid w:val="0"/>
              <w:jc w:val="center"/>
              <w:rPr>
                <w:rFonts w:hint="eastAsia" w:ascii="宋体" w:hAnsi="宋体"/>
                <w:b/>
                <w:bCs/>
                <w:szCs w:val="21"/>
              </w:rPr>
            </w:pPr>
            <w:r>
              <w:rPr>
                <w:rFonts w:hint="eastAsia" w:ascii="宋体" w:hAnsi="宋体"/>
                <w:b/>
                <w:bCs/>
                <w:szCs w:val="21"/>
              </w:rPr>
              <w:t>采购内容</w:t>
            </w:r>
          </w:p>
        </w:tc>
        <w:tc>
          <w:tcPr>
            <w:tcW w:w="53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1769BF3">
            <w:pPr>
              <w:snapToGrid w:val="0"/>
              <w:jc w:val="center"/>
              <w:rPr>
                <w:rFonts w:hint="eastAsia" w:ascii="宋体" w:hAnsi="宋体"/>
                <w:b/>
                <w:bCs/>
                <w:szCs w:val="21"/>
              </w:rPr>
            </w:pPr>
            <w:r>
              <w:rPr>
                <w:rFonts w:hint="eastAsia" w:ascii="宋体" w:hAnsi="宋体"/>
                <w:b/>
                <w:bCs/>
                <w:szCs w:val="21"/>
              </w:rPr>
              <w:t>品牌型号、生产厂家(填三个)</w:t>
            </w:r>
          </w:p>
        </w:tc>
        <w:tc>
          <w:tcPr>
            <w:tcW w:w="3293"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F2DD354">
            <w:pPr>
              <w:snapToGrid w:val="0"/>
              <w:jc w:val="center"/>
              <w:rPr>
                <w:rFonts w:hint="eastAsia" w:ascii="宋体" w:hAnsi="宋体"/>
                <w:b/>
                <w:bCs/>
                <w:szCs w:val="21"/>
              </w:rPr>
            </w:pPr>
            <w:r>
              <w:rPr>
                <w:rFonts w:hint="eastAsia" w:ascii="宋体" w:hAnsi="宋体"/>
                <w:b/>
                <w:bCs/>
                <w:szCs w:val="21"/>
              </w:rPr>
              <w:t>技术参数</w:t>
            </w:r>
          </w:p>
        </w:tc>
        <w:tc>
          <w:tcPr>
            <w:tcW w:w="132" w:type="pct"/>
            <w:tcBorders>
              <w:top w:val="single" w:color="auto" w:sz="4" w:space="0"/>
              <w:left w:val="single" w:color="auto" w:sz="4" w:space="0"/>
              <w:bottom w:val="single" w:color="auto" w:sz="4" w:space="0"/>
              <w:right w:val="single" w:color="auto" w:sz="4" w:space="0"/>
            </w:tcBorders>
            <w:vAlign w:val="center"/>
          </w:tcPr>
          <w:p w14:paraId="318E19D9">
            <w:pPr>
              <w:snapToGrid w:val="0"/>
              <w:jc w:val="center"/>
              <w:rPr>
                <w:rFonts w:hint="eastAsia" w:ascii="宋体" w:hAnsi="宋体"/>
                <w:b/>
                <w:bCs/>
                <w:szCs w:val="21"/>
              </w:rPr>
            </w:pPr>
            <w:r>
              <w:rPr>
                <w:rFonts w:hint="eastAsia" w:ascii="宋体" w:hAnsi="宋体"/>
                <w:b/>
                <w:bCs/>
                <w:szCs w:val="21"/>
              </w:rPr>
              <w:t>计量</w:t>
            </w:r>
          </w:p>
          <w:p w14:paraId="0AB2A8CB">
            <w:pPr>
              <w:snapToGrid w:val="0"/>
              <w:jc w:val="center"/>
              <w:rPr>
                <w:rFonts w:hint="eastAsia" w:ascii="宋体" w:hAnsi="宋体"/>
                <w:b/>
                <w:bCs/>
                <w:szCs w:val="21"/>
              </w:rPr>
            </w:pPr>
            <w:r>
              <w:rPr>
                <w:rFonts w:hint="eastAsia" w:ascii="宋体" w:hAnsi="宋体"/>
                <w:b/>
                <w:bCs/>
                <w:szCs w:val="21"/>
              </w:rPr>
              <w:t>单位</w:t>
            </w:r>
          </w:p>
        </w:tc>
        <w:tc>
          <w:tcPr>
            <w:tcW w:w="132" w:type="pct"/>
            <w:tcBorders>
              <w:top w:val="single" w:color="auto" w:sz="4" w:space="0"/>
              <w:left w:val="single" w:color="auto" w:sz="4" w:space="0"/>
              <w:bottom w:val="single" w:color="auto" w:sz="4" w:space="0"/>
              <w:right w:val="single" w:color="auto" w:sz="4" w:space="0"/>
            </w:tcBorders>
            <w:vAlign w:val="center"/>
          </w:tcPr>
          <w:p w14:paraId="3AC17CCC">
            <w:pPr>
              <w:snapToGrid w:val="0"/>
              <w:jc w:val="center"/>
              <w:rPr>
                <w:rFonts w:hint="eastAsia" w:ascii="宋体" w:hAnsi="宋体"/>
                <w:b/>
                <w:bCs/>
                <w:szCs w:val="21"/>
              </w:rPr>
            </w:pPr>
            <w:r>
              <w:rPr>
                <w:rFonts w:hint="eastAsia" w:ascii="宋体" w:hAnsi="宋体"/>
                <w:b/>
                <w:bCs/>
                <w:szCs w:val="21"/>
              </w:rPr>
              <w:t>数量</w:t>
            </w:r>
          </w:p>
        </w:tc>
        <w:tc>
          <w:tcPr>
            <w:tcW w:w="259" w:type="pct"/>
            <w:tcBorders>
              <w:top w:val="single" w:color="auto" w:sz="4" w:space="0"/>
              <w:left w:val="single" w:color="auto" w:sz="4" w:space="0"/>
              <w:bottom w:val="single" w:color="auto" w:sz="4" w:space="0"/>
              <w:right w:val="single" w:color="auto" w:sz="4" w:space="0"/>
            </w:tcBorders>
            <w:vAlign w:val="center"/>
          </w:tcPr>
          <w:p w14:paraId="2F431346">
            <w:pPr>
              <w:snapToGrid w:val="0"/>
              <w:jc w:val="center"/>
              <w:rPr>
                <w:rFonts w:hint="eastAsia" w:ascii="宋体" w:hAnsi="宋体"/>
                <w:b/>
                <w:bCs/>
                <w:szCs w:val="21"/>
              </w:rPr>
            </w:pPr>
            <w:r>
              <w:rPr>
                <w:rFonts w:hint="eastAsia" w:ascii="宋体" w:hAnsi="宋体"/>
                <w:b/>
                <w:bCs/>
                <w:szCs w:val="21"/>
              </w:rPr>
              <w:t>单价</w:t>
            </w:r>
          </w:p>
          <w:p w14:paraId="4A485A65">
            <w:pPr>
              <w:snapToGrid w:val="0"/>
              <w:jc w:val="center"/>
              <w:rPr>
                <w:rFonts w:hint="eastAsia" w:ascii="宋体" w:hAnsi="宋体"/>
                <w:b/>
                <w:bCs/>
                <w:szCs w:val="21"/>
              </w:rPr>
            </w:pPr>
            <w:r>
              <w:rPr>
                <w:rFonts w:hint="eastAsia" w:ascii="宋体" w:hAnsi="宋体"/>
                <w:b/>
                <w:bCs/>
                <w:szCs w:val="21"/>
              </w:rPr>
              <w:t>（万元）</w:t>
            </w:r>
          </w:p>
        </w:tc>
        <w:tc>
          <w:tcPr>
            <w:tcW w:w="259" w:type="pct"/>
            <w:tcBorders>
              <w:top w:val="single" w:color="auto" w:sz="4" w:space="0"/>
              <w:left w:val="single" w:color="auto" w:sz="4" w:space="0"/>
              <w:bottom w:val="single" w:color="auto" w:sz="4" w:space="0"/>
              <w:right w:val="single" w:color="auto" w:sz="4" w:space="0"/>
            </w:tcBorders>
            <w:vAlign w:val="center"/>
          </w:tcPr>
          <w:p w14:paraId="0000D569">
            <w:pPr>
              <w:snapToGrid w:val="0"/>
              <w:jc w:val="center"/>
              <w:rPr>
                <w:rFonts w:hint="eastAsia" w:ascii="宋体" w:hAnsi="宋体"/>
                <w:b/>
                <w:bCs/>
                <w:szCs w:val="21"/>
              </w:rPr>
            </w:pPr>
            <w:r>
              <w:rPr>
                <w:rFonts w:hint="eastAsia" w:ascii="宋体" w:hAnsi="宋体"/>
                <w:b/>
                <w:bCs/>
                <w:szCs w:val="21"/>
              </w:rPr>
              <w:t>小计</w:t>
            </w:r>
          </w:p>
          <w:p w14:paraId="2D8E7579">
            <w:pPr>
              <w:snapToGrid w:val="0"/>
              <w:jc w:val="center"/>
              <w:rPr>
                <w:rFonts w:hint="eastAsia" w:ascii="宋体" w:hAnsi="宋体"/>
                <w:b/>
                <w:bCs/>
                <w:szCs w:val="21"/>
              </w:rPr>
            </w:pPr>
            <w:r>
              <w:rPr>
                <w:rFonts w:hint="eastAsia" w:ascii="宋体" w:hAnsi="宋体"/>
                <w:b/>
                <w:bCs/>
                <w:szCs w:val="21"/>
              </w:rPr>
              <w:t>（万元）</w:t>
            </w:r>
          </w:p>
        </w:tc>
      </w:tr>
      <w:tr w14:paraId="261AE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9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61B4F8BD">
            <w:pPr>
              <w:widowControl/>
              <w:jc w:val="center"/>
              <w:textAlignment w:val="bottom"/>
              <w:rPr>
                <w:rFonts w:hint="eastAsia" w:ascii="宋体" w:hAnsi="宋体"/>
                <w:b/>
                <w:bCs/>
                <w:sz w:val="20"/>
                <w:szCs w:val="20"/>
              </w:rPr>
            </w:pPr>
            <w:r>
              <w:rPr>
                <w:rFonts w:hint="eastAsia" w:ascii="宋体" w:hAnsi="宋体" w:eastAsia="宋体" w:cs="宋体"/>
                <w:kern w:val="0"/>
                <w:sz w:val="20"/>
                <w:szCs w:val="20"/>
                <w:lang w:bidi="ar"/>
              </w:rPr>
              <w:t>1</w:t>
            </w:r>
          </w:p>
        </w:tc>
        <w:tc>
          <w:tcPr>
            <w:tcW w:w="19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0120BF55">
            <w:pPr>
              <w:widowControl/>
              <w:jc w:val="center"/>
              <w:textAlignment w:val="center"/>
              <w:rPr>
                <w:rFonts w:hint="eastAsia" w:ascii="宋体" w:hAnsi="宋体"/>
                <w:sz w:val="20"/>
                <w:szCs w:val="20"/>
              </w:rPr>
            </w:pPr>
            <w:r>
              <w:rPr>
                <w:rFonts w:hint="eastAsia" w:ascii="宋体" w:hAnsi="宋体"/>
                <w:sz w:val="20"/>
                <w:szCs w:val="20"/>
              </w:rPr>
              <w:t>汇聚交换机</w:t>
            </w:r>
          </w:p>
        </w:tc>
        <w:tc>
          <w:tcPr>
            <w:tcW w:w="53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4414883">
            <w:pPr>
              <w:widowControl/>
              <w:tabs>
                <w:tab w:val="left" w:pos="312"/>
              </w:tabs>
              <w:jc w:val="center"/>
              <w:textAlignment w:val="center"/>
              <w:rPr>
                <w:rFonts w:hint="eastAsia" w:ascii="宋体" w:hAnsi="宋体" w:eastAsia="宋体"/>
                <w:sz w:val="20"/>
                <w:szCs w:val="20"/>
              </w:rPr>
            </w:pPr>
            <w:r>
              <w:rPr>
                <w:rFonts w:hint="eastAsia" w:ascii="宋体" w:hAnsi="宋体" w:eastAsia="宋体"/>
                <w:sz w:val="20"/>
                <w:szCs w:val="20"/>
              </w:rPr>
              <w:t>华为CloudEngine S6730S-S24X6Q-A</w:t>
            </w:r>
          </w:p>
        </w:tc>
        <w:tc>
          <w:tcPr>
            <w:tcW w:w="3293"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604EFF64">
            <w:pPr>
              <w:widowControl/>
              <w:jc w:val="left"/>
              <w:textAlignment w:val="center"/>
              <w:rPr>
                <w:rFonts w:hint="eastAsia" w:ascii="宋体" w:hAnsi="宋体" w:eastAsia="宋体"/>
                <w:sz w:val="20"/>
                <w:szCs w:val="20"/>
              </w:rPr>
            </w:pPr>
            <w:r>
              <w:rPr>
                <w:rFonts w:hint="eastAsia" w:ascii="宋体" w:hAnsi="宋体" w:eastAsia="宋体"/>
                <w:sz w:val="20"/>
                <w:szCs w:val="20"/>
              </w:rPr>
              <w:t>1.接口：24 个万兆 SFP+，6 个 40GE QSFP+；</w:t>
            </w:r>
          </w:p>
          <w:p w14:paraId="51A88874">
            <w:pPr>
              <w:widowControl/>
              <w:jc w:val="left"/>
              <w:textAlignment w:val="center"/>
              <w:rPr>
                <w:rFonts w:hint="eastAsia" w:ascii="宋体" w:hAnsi="宋体" w:eastAsia="宋体"/>
                <w:sz w:val="20"/>
                <w:szCs w:val="20"/>
              </w:rPr>
            </w:pPr>
            <w:r>
              <w:rPr>
                <w:rFonts w:hint="eastAsia" w:ascii="宋体" w:hAnsi="宋体" w:eastAsia="宋体"/>
                <w:sz w:val="20"/>
                <w:szCs w:val="20"/>
              </w:rPr>
              <w:t>2.性能：包转发率：792Mpps；交换容量：2.56T/25.6Tbps；</w:t>
            </w:r>
          </w:p>
          <w:p w14:paraId="49879DE9">
            <w:pPr>
              <w:widowControl/>
              <w:jc w:val="left"/>
              <w:textAlignment w:val="center"/>
              <w:rPr>
                <w:rFonts w:hint="eastAsia" w:ascii="宋体" w:hAnsi="宋体" w:eastAsia="宋体"/>
                <w:sz w:val="20"/>
                <w:szCs w:val="20"/>
              </w:rPr>
            </w:pPr>
            <w:r>
              <w:rPr>
                <w:rFonts w:hint="eastAsia" w:ascii="宋体" w:hAnsi="宋体" w:eastAsia="宋体"/>
                <w:sz w:val="20"/>
                <w:szCs w:val="20"/>
              </w:rPr>
              <w:t>3.内存：4G；</w:t>
            </w:r>
          </w:p>
          <w:p w14:paraId="72C1D054">
            <w:pPr>
              <w:widowControl/>
              <w:jc w:val="left"/>
              <w:textAlignment w:val="center"/>
              <w:rPr>
                <w:rFonts w:hint="eastAsia" w:ascii="宋体" w:hAnsi="宋体" w:eastAsia="宋体"/>
                <w:sz w:val="20"/>
                <w:szCs w:val="20"/>
              </w:rPr>
            </w:pPr>
            <w:r>
              <w:rPr>
                <w:rFonts w:hint="eastAsia" w:ascii="宋体" w:hAnsi="宋体" w:eastAsia="宋体"/>
                <w:sz w:val="20"/>
                <w:szCs w:val="20"/>
              </w:rPr>
              <w:t>4.Flash：2G；</w:t>
            </w:r>
          </w:p>
          <w:p w14:paraId="10621ACF">
            <w:pPr>
              <w:widowControl/>
              <w:jc w:val="left"/>
              <w:textAlignment w:val="center"/>
              <w:rPr>
                <w:rFonts w:hint="eastAsia" w:ascii="宋体" w:hAnsi="宋体" w:eastAsia="宋体"/>
                <w:sz w:val="20"/>
                <w:szCs w:val="20"/>
              </w:rPr>
            </w:pPr>
            <w:r>
              <w:rPr>
                <w:rFonts w:hint="eastAsia" w:ascii="宋体" w:hAnsi="宋体" w:eastAsia="宋体"/>
                <w:sz w:val="20"/>
                <w:szCs w:val="20"/>
              </w:rPr>
              <w:t>5.可插拔风扇，风冷散热，智能调速；</w:t>
            </w:r>
          </w:p>
          <w:p w14:paraId="1EAB2715">
            <w:pPr>
              <w:widowControl/>
              <w:jc w:val="left"/>
              <w:textAlignment w:val="center"/>
              <w:rPr>
                <w:rFonts w:hint="eastAsia" w:ascii="宋体" w:hAnsi="宋体" w:eastAsia="宋体"/>
                <w:sz w:val="20"/>
                <w:szCs w:val="20"/>
              </w:rPr>
            </w:pPr>
            <w:r>
              <w:rPr>
                <w:rFonts w:hint="eastAsia" w:ascii="宋体" w:hAnsi="宋体" w:eastAsia="宋体"/>
                <w:sz w:val="20"/>
                <w:szCs w:val="20"/>
              </w:rPr>
              <w:t>6.电源冗余1+1，支持在同一设备上同时配置可插拔的交流和直流电源模块；</w:t>
            </w:r>
          </w:p>
          <w:p w14:paraId="270706BB">
            <w:pPr>
              <w:widowControl/>
              <w:jc w:val="left"/>
              <w:textAlignment w:val="center"/>
              <w:rPr>
                <w:rFonts w:hint="eastAsia" w:ascii="宋体" w:hAnsi="宋体" w:eastAsia="宋体"/>
                <w:sz w:val="20"/>
                <w:szCs w:val="20"/>
              </w:rPr>
            </w:pPr>
            <w:r>
              <w:rPr>
                <w:rFonts w:hint="eastAsia" w:ascii="宋体" w:hAnsi="宋体" w:eastAsia="宋体"/>
                <w:sz w:val="20"/>
                <w:szCs w:val="20"/>
              </w:rPr>
              <w:t>7.支持最大 64K MAC 地址容量，支持 MAC 地址自动学习和老化，支持静态、动态、黑洞 MAC 表项，支持源 MAC 地址过滤；</w:t>
            </w:r>
          </w:p>
          <w:p w14:paraId="5399ECF4">
            <w:pPr>
              <w:widowControl/>
              <w:jc w:val="left"/>
              <w:textAlignment w:val="center"/>
              <w:rPr>
                <w:rFonts w:hint="eastAsia" w:ascii="宋体" w:hAnsi="宋体" w:eastAsia="宋体"/>
                <w:sz w:val="20"/>
                <w:szCs w:val="20"/>
              </w:rPr>
            </w:pPr>
            <w:r>
              <w:rPr>
                <w:rFonts w:hint="eastAsia" w:ascii="宋体" w:hAnsi="宋体" w:eastAsia="宋体"/>
                <w:sz w:val="20"/>
                <w:szCs w:val="20"/>
              </w:rPr>
              <w:t>8.IP路由：静态路由、RIP V1/2、RIPng、OSPF、OSPFv3、IS-IS、IS-ISv6、BGP、BGP4+、ECMP、路由策略；</w:t>
            </w:r>
          </w:p>
          <w:p w14:paraId="53242F3F">
            <w:pPr>
              <w:widowControl/>
              <w:jc w:val="left"/>
              <w:textAlignment w:val="center"/>
              <w:rPr>
                <w:rFonts w:hint="eastAsia" w:ascii="宋体" w:hAnsi="宋体" w:eastAsia="宋体"/>
                <w:sz w:val="20"/>
                <w:szCs w:val="20"/>
              </w:rPr>
            </w:pPr>
            <w:r>
              <w:rPr>
                <w:rFonts w:hint="eastAsia" w:ascii="宋体" w:hAnsi="宋体" w:eastAsia="宋体"/>
                <w:sz w:val="20"/>
                <w:szCs w:val="20"/>
              </w:rPr>
              <w:t>9.支持 IGMP v1/v2/v3 Snooping 和快速离开机制，支持 VLAN 内组播转发和组播多 VLAN 复制，支持捆绑端口的组播负载分担，支持可控组播，支持基于端口的组播流量统计，支持 IGMP v1/v2/v3、PIM-SM、PIM-DM、PIM-SSM；</w:t>
            </w:r>
          </w:p>
          <w:p w14:paraId="2E355F3A">
            <w:pPr>
              <w:widowControl/>
              <w:jc w:val="left"/>
              <w:textAlignment w:val="center"/>
              <w:rPr>
                <w:rFonts w:hint="eastAsia" w:ascii="宋体" w:hAnsi="宋体" w:eastAsia="宋体"/>
                <w:sz w:val="20"/>
                <w:szCs w:val="20"/>
              </w:rPr>
            </w:pPr>
            <w:r>
              <w:rPr>
                <w:rFonts w:hint="eastAsia" w:ascii="宋体" w:hAnsi="宋体" w:eastAsia="宋体"/>
                <w:sz w:val="20"/>
                <w:szCs w:val="20"/>
              </w:rPr>
              <w:t>10.支持防止 DOS、ARP 攻击功能、ICMP 防攻击，支持 IP、MAC、端口、VLAN 的组合绑定，支持端口隔离、端口安全、Sticky MAC；</w:t>
            </w:r>
          </w:p>
          <w:p w14:paraId="0323AB42">
            <w:pPr>
              <w:widowControl/>
              <w:jc w:val="left"/>
              <w:textAlignment w:val="center"/>
              <w:rPr>
                <w:rFonts w:hint="eastAsia" w:ascii="宋体" w:hAnsi="宋体" w:eastAsia="宋体"/>
                <w:sz w:val="20"/>
                <w:szCs w:val="20"/>
              </w:rPr>
            </w:pPr>
            <w:r>
              <w:rPr>
                <w:rFonts w:hint="eastAsia" w:ascii="宋体" w:hAnsi="宋体" w:eastAsia="宋体"/>
                <w:sz w:val="20"/>
                <w:szCs w:val="20"/>
              </w:rPr>
              <w:t>11.支持对端口入方向、出方向进行速率限制，支持报文重定向，支持基于端口的流量监管；</w:t>
            </w:r>
          </w:p>
        </w:tc>
        <w:tc>
          <w:tcPr>
            <w:tcW w:w="132" w:type="pct"/>
            <w:tcBorders>
              <w:top w:val="single" w:color="auto" w:sz="4" w:space="0"/>
              <w:left w:val="single" w:color="auto" w:sz="4" w:space="0"/>
              <w:bottom w:val="single" w:color="auto" w:sz="4" w:space="0"/>
              <w:right w:val="single" w:color="auto" w:sz="4" w:space="0"/>
            </w:tcBorders>
            <w:vAlign w:val="center"/>
          </w:tcPr>
          <w:p w14:paraId="2557A4A1">
            <w:pPr>
              <w:widowControl/>
              <w:jc w:val="center"/>
              <w:textAlignment w:val="center"/>
              <w:rPr>
                <w:rFonts w:hint="eastAsia" w:ascii="宋体" w:hAnsi="宋体"/>
                <w:sz w:val="20"/>
                <w:szCs w:val="20"/>
              </w:rPr>
            </w:pPr>
            <w:r>
              <w:rPr>
                <w:rFonts w:hint="eastAsia" w:ascii="宋体" w:hAnsi="宋体"/>
                <w:sz w:val="20"/>
                <w:szCs w:val="20"/>
              </w:rPr>
              <w:t>台</w:t>
            </w:r>
          </w:p>
        </w:tc>
        <w:tc>
          <w:tcPr>
            <w:tcW w:w="132" w:type="pct"/>
            <w:tcBorders>
              <w:top w:val="single" w:color="auto" w:sz="4" w:space="0"/>
              <w:left w:val="single" w:color="auto" w:sz="4" w:space="0"/>
              <w:bottom w:val="single" w:color="auto" w:sz="4" w:space="0"/>
              <w:right w:val="single" w:color="auto" w:sz="4" w:space="0"/>
            </w:tcBorders>
            <w:vAlign w:val="center"/>
          </w:tcPr>
          <w:p w14:paraId="4FDF6003">
            <w:pPr>
              <w:widowControl/>
              <w:jc w:val="center"/>
              <w:textAlignment w:val="center"/>
              <w:rPr>
                <w:rFonts w:hint="eastAsia" w:ascii="宋体" w:hAnsi="宋体"/>
                <w:sz w:val="20"/>
                <w:szCs w:val="20"/>
              </w:rPr>
            </w:pPr>
            <w:r>
              <w:rPr>
                <w:rFonts w:hint="eastAsia" w:ascii="宋体" w:hAnsi="宋体"/>
                <w:sz w:val="20"/>
                <w:szCs w:val="20"/>
              </w:rPr>
              <w:t>3</w:t>
            </w:r>
          </w:p>
        </w:tc>
        <w:tc>
          <w:tcPr>
            <w:tcW w:w="259" w:type="pct"/>
            <w:tcBorders>
              <w:top w:val="single" w:color="auto" w:sz="4" w:space="0"/>
              <w:left w:val="single" w:color="auto" w:sz="4" w:space="0"/>
              <w:bottom w:val="single" w:color="auto" w:sz="4" w:space="0"/>
              <w:right w:val="single" w:color="auto" w:sz="4" w:space="0"/>
            </w:tcBorders>
            <w:vAlign w:val="center"/>
          </w:tcPr>
          <w:p w14:paraId="0DA03AD5">
            <w:pPr>
              <w:widowControl/>
              <w:jc w:val="center"/>
              <w:textAlignment w:val="center"/>
              <w:rPr>
                <w:rFonts w:hint="eastAsia" w:ascii="宋体" w:hAnsi="宋体"/>
                <w:b/>
                <w:bCs/>
                <w:color w:val="FF0000"/>
                <w:sz w:val="20"/>
                <w:szCs w:val="20"/>
              </w:rPr>
            </w:pPr>
          </w:p>
        </w:tc>
        <w:tc>
          <w:tcPr>
            <w:tcW w:w="259" w:type="pct"/>
            <w:tcBorders>
              <w:top w:val="single" w:color="auto" w:sz="4" w:space="0"/>
              <w:left w:val="single" w:color="auto" w:sz="4" w:space="0"/>
              <w:bottom w:val="single" w:color="auto" w:sz="4" w:space="0"/>
              <w:right w:val="single" w:color="auto" w:sz="4" w:space="0"/>
            </w:tcBorders>
            <w:vAlign w:val="center"/>
          </w:tcPr>
          <w:p w14:paraId="136A033A">
            <w:pPr>
              <w:widowControl/>
              <w:jc w:val="center"/>
              <w:textAlignment w:val="center"/>
              <w:rPr>
                <w:rFonts w:hint="eastAsia" w:ascii="宋体" w:hAnsi="宋体"/>
                <w:b/>
                <w:bCs/>
                <w:color w:val="FF0000"/>
                <w:sz w:val="20"/>
                <w:szCs w:val="20"/>
              </w:rPr>
            </w:pPr>
          </w:p>
        </w:tc>
      </w:tr>
      <w:tr w14:paraId="5FD72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9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7D394F74">
            <w:pPr>
              <w:widowControl/>
              <w:jc w:val="center"/>
              <w:textAlignment w:val="bottom"/>
              <w:rPr>
                <w:rFonts w:hint="eastAsia" w:ascii="宋体" w:hAnsi="宋体" w:eastAsia="宋体"/>
                <w:b/>
                <w:bCs/>
                <w:sz w:val="20"/>
                <w:szCs w:val="20"/>
              </w:rPr>
            </w:pPr>
            <w:r>
              <w:rPr>
                <w:rFonts w:hint="eastAsia" w:ascii="宋体" w:hAnsi="宋体" w:eastAsia="宋体" w:cs="宋体"/>
                <w:kern w:val="0"/>
                <w:sz w:val="20"/>
                <w:szCs w:val="20"/>
                <w:lang w:bidi="ar"/>
              </w:rPr>
              <w:t>2</w:t>
            </w:r>
          </w:p>
        </w:tc>
        <w:tc>
          <w:tcPr>
            <w:tcW w:w="19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88561EE">
            <w:pPr>
              <w:widowControl/>
              <w:jc w:val="left"/>
              <w:textAlignment w:val="center"/>
              <w:rPr>
                <w:rFonts w:hint="eastAsia" w:ascii="宋体" w:hAnsi="宋体" w:eastAsia="宋体" w:cs="宋体"/>
                <w:sz w:val="20"/>
                <w:szCs w:val="20"/>
              </w:rPr>
            </w:pPr>
            <w:r>
              <w:rPr>
                <w:rFonts w:hint="eastAsia" w:ascii="宋体" w:hAnsi="宋体" w:eastAsia="宋体" w:cs="宋体"/>
                <w:sz w:val="20"/>
                <w:szCs w:val="20"/>
              </w:rPr>
              <w:t>音箱</w:t>
            </w:r>
          </w:p>
        </w:tc>
        <w:tc>
          <w:tcPr>
            <w:tcW w:w="53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3B981F42">
            <w:pPr>
              <w:widowControl/>
              <w:jc w:val="left"/>
              <w:textAlignment w:val="center"/>
              <w:rPr>
                <w:rFonts w:hint="eastAsia" w:ascii="宋体" w:hAnsi="宋体" w:eastAsia="宋体" w:cs="宋体"/>
                <w:sz w:val="20"/>
                <w:szCs w:val="20"/>
              </w:rPr>
            </w:pPr>
            <w:r>
              <w:rPr>
                <w:rFonts w:ascii="宋体" w:hAnsi="宋体" w:eastAsia="宋体" w:cs="宋体"/>
                <w:sz w:val="20"/>
                <w:szCs w:val="20"/>
              </w:rPr>
              <w:t>YLS-PA YY-02</w:t>
            </w:r>
          </w:p>
        </w:tc>
        <w:tc>
          <w:tcPr>
            <w:tcW w:w="3293"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1199E9ED">
            <w:pPr>
              <w:widowControl/>
              <w:jc w:val="left"/>
              <w:textAlignment w:val="center"/>
              <w:rPr>
                <w:rFonts w:hint="eastAsia" w:ascii="宋体" w:hAnsi="宋体" w:eastAsia="宋体" w:cs="宋体"/>
                <w:sz w:val="20"/>
                <w:szCs w:val="20"/>
              </w:rPr>
            </w:pPr>
            <w:r>
              <w:rPr>
                <w:rFonts w:hint="eastAsia" w:ascii="宋体" w:hAnsi="宋体" w:eastAsia="宋体" w:cs="宋体"/>
                <w:sz w:val="20"/>
                <w:szCs w:val="20"/>
              </w:rPr>
              <w:t>1.2.0声道有源音箱，内置功率放大器、5.5寸进口全频低音喇叭、2.5寸进口高音喇叭。备有HCT环保麦克风插口、1000套同时使用不串频、近距离对频、抗干扰性强、安装调试简单、声音清晰、性能稳定。*麦克风音量、音乐音量独立调节。*外置接插式电源线放便升级安装。*1组莲花音频输入、1组莲花录音输出。*1路6.5毫米话筒输入插口、1路3.5音频输入接口。</w:t>
            </w:r>
          </w:p>
          <w:p w14:paraId="58AFDA2D">
            <w:pPr>
              <w:widowControl/>
              <w:jc w:val="left"/>
              <w:textAlignment w:val="center"/>
              <w:rPr>
                <w:rFonts w:hint="eastAsia" w:ascii="宋体" w:hAnsi="宋体" w:eastAsia="宋体" w:cs="宋体"/>
                <w:sz w:val="20"/>
                <w:szCs w:val="20"/>
              </w:rPr>
            </w:pPr>
            <w:r>
              <w:rPr>
                <w:rFonts w:hint="eastAsia" w:ascii="宋体" w:hAnsi="宋体" w:eastAsia="宋体" w:cs="宋体"/>
                <w:sz w:val="20"/>
                <w:szCs w:val="20"/>
              </w:rPr>
              <w:t>2.外置USB2.4G无线话筒和无线蓝牙输入扩展功能。</w:t>
            </w:r>
          </w:p>
          <w:p w14:paraId="6D51C936">
            <w:pPr>
              <w:widowControl/>
              <w:jc w:val="left"/>
              <w:textAlignment w:val="center"/>
              <w:rPr>
                <w:rFonts w:hint="eastAsia" w:ascii="宋体" w:hAnsi="宋体" w:eastAsia="宋体" w:cs="宋体"/>
                <w:sz w:val="20"/>
                <w:szCs w:val="20"/>
              </w:rPr>
            </w:pPr>
            <w:r>
              <w:rPr>
                <w:rFonts w:hint="eastAsia" w:ascii="宋体" w:hAnsi="宋体" w:eastAsia="宋体" w:cs="宋体"/>
                <w:sz w:val="20"/>
                <w:szCs w:val="20"/>
              </w:rPr>
              <w:t>3.适用于各类多媒体教室、电教室、普通教室。</w:t>
            </w:r>
          </w:p>
          <w:p w14:paraId="75A106CA">
            <w:pPr>
              <w:widowControl/>
              <w:jc w:val="left"/>
              <w:textAlignment w:val="center"/>
              <w:rPr>
                <w:rFonts w:hint="eastAsia" w:ascii="宋体" w:hAnsi="宋体" w:eastAsia="宋体" w:cs="宋体"/>
                <w:sz w:val="20"/>
                <w:szCs w:val="20"/>
              </w:rPr>
            </w:pPr>
            <w:r>
              <w:rPr>
                <w:rFonts w:hint="eastAsia" w:ascii="宋体" w:hAnsi="宋体" w:eastAsia="宋体" w:cs="宋体"/>
                <w:sz w:val="20"/>
                <w:szCs w:val="20"/>
              </w:rPr>
              <w:t>4.铁网烤漆防护罩、配原厂支架、壁挂式安装。*使用频率：2400-2485MHz  *输出功率：2×20W*灵敏度：90dB±2 dB  *频率响应：20Hz-20KHz*信嗓比：≥85dB±2 dB  *电源：DC12V3A无线话筒类别：2.4G数字无线话筒 USB接收器</w:t>
            </w:r>
          </w:p>
          <w:p w14:paraId="3D8E5C0F">
            <w:pPr>
              <w:widowControl/>
              <w:jc w:val="left"/>
              <w:textAlignment w:val="center"/>
              <w:rPr>
                <w:rFonts w:hint="eastAsia" w:ascii="宋体" w:hAnsi="宋体" w:eastAsia="宋体" w:cs="宋体"/>
                <w:sz w:val="20"/>
                <w:szCs w:val="20"/>
              </w:rPr>
            </w:pPr>
            <w:r>
              <w:rPr>
                <w:rFonts w:hint="eastAsia" w:ascii="宋体" w:hAnsi="宋体" w:eastAsia="宋体" w:cs="宋体"/>
                <w:sz w:val="20"/>
                <w:szCs w:val="20"/>
              </w:rPr>
              <w:t>5.2.4G抗干扰射频技术、同一个无线麦克风、能在不同的教室接收机上使用、近距离开机自动对频对频成功有语音提示,无须专人管理。</w:t>
            </w:r>
          </w:p>
          <w:p w14:paraId="196E7BDA">
            <w:pPr>
              <w:widowControl/>
              <w:jc w:val="left"/>
              <w:textAlignment w:val="center"/>
              <w:rPr>
                <w:rFonts w:hint="eastAsia" w:ascii="宋体" w:hAnsi="宋体" w:eastAsia="宋体" w:cs="宋体"/>
                <w:sz w:val="20"/>
                <w:szCs w:val="20"/>
              </w:rPr>
            </w:pPr>
            <w:r>
              <w:rPr>
                <w:rFonts w:hint="eastAsia" w:ascii="宋体" w:hAnsi="宋体" w:eastAsia="宋体" w:cs="宋体"/>
                <w:sz w:val="20"/>
                <w:szCs w:val="20"/>
              </w:rPr>
              <w:t>6.1.8寸LCD液晶显示屏, 显示充电中、低电量、发射机与接收机信号锁定、音量大小、PPT无线翻页功能（需配另外PPT翻页器，话筒按键集合该功能）和ACG。</w:t>
            </w:r>
          </w:p>
          <w:p w14:paraId="3E9209DA">
            <w:pPr>
              <w:widowControl/>
              <w:jc w:val="left"/>
              <w:textAlignment w:val="center"/>
              <w:rPr>
                <w:rFonts w:hint="eastAsia" w:ascii="宋体" w:hAnsi="宋体" w:eastAsia="宋体" w:cs="宋体"/>
                <w:sz w:val="20"/>
                <w:szCs w:val="20"/>
              </w:rPr>
            </w:pPr>
            <w:r>
              <w:rPr>
                <w:rFonts w:hint="eastAsia" w:ascii="宋体" w:hAnsi="宋体" w:eastAsia="宋体" w:cs="宋体"/>
                <w:sz w:val="20"/>
                <w:szCs w:val="20"/>
              </w:rPr>
              <w:t>7.功能按键采用金属密封式轻触开关、手感好巨有防水、防潮、防尘的功能,性能稳定持久耐用。</w:t>
            </w:r>
          </w:p>
          <w:p w14:paraId="0390B7C1">
            <w:pPr>
              <w:widowControl/>
              <w:jc w:val="left"/>
              <w:textAlignment w:val="center"/>
              <w:rPr>
                <w:rFonts w:hint="eastAsia" w:ascii="宋体" w:hAnsi="宋体" w:eastAsia="宋体" w:cs="宋体"/>
                <w:sz w:val="20"/>
                <w:szCs w:val="20"/>
              </w:rPr>
            </w:pPr>
            <w:r>
              <w:rPr>
                <w:rFonts w:hint="eastAsia" w:ascii="宋体" w:hAnsi="宋体" w:eastAsia="宋体" w:cs="宋体"/>
                <w:sz w:val="20"/>
                <w:szCs w:val="20"/>
              </w:rPr>
              <w:t>8.音量大小调节数字液晶显示、U型背夹设计放便使用.</w:t>
            </w:r>
          </w:p>
          <w:p w14:paraId="61E62C7F">
            <w:pPr>
              <w:widowControl/>
              <w:jc w:val="left"/>
              <w:textAlignment w:val="center"/>
              <w:rPr>
                <w:rFonts w:hint="eastAsia" w:ascii="宋体" w:hAnsi="宋体" w:eastAsia="宋体" w:cs="宋体"/>
                <w:sz w:val="20"/>
                <w:szCs w:val="20"/>
              </w:rPr>
            </w:pPr>
            <w:r>
              <w:rPr>
                <w:rFonts w:hint="eastAsia" w:ascii="宋体" w:hAnsi="宋体" w:eastAsia="宋体" w:cs="宋体"/>
                <w:sz w:val="20"/>
                <w:szCs w:val="20"/>
              </w:rPr>
              <w:t>9.内/外置麦克风切换功能、手持、领夹多种使用方式。</w:t>
            </w:r>
          </w:p>
          <w:p w14:paraId="5645E59E">
            <w:pPr>
              <w:widowControl/>
              <w:jc w:val="left"/>
              <w:textAlignment w:val="center"/>
              <w:rPr>
                <w:rFonts w:hint="eastAsia" w:ascii="宋体" w:hAnsi="宋体" w:eastAsia="宋体" w:cs="宋体"/>
                <w:sz w:val="20"/>
                <w:szCs w:val="20"/>
              </w:rPr>
            </w:pPr>
            <w:r>
              <w:rPr>
                <w:rFonts w:hint="eastAsia" w:ascii="宋体" w:hAnsi="宋体" w:eastAsia="宋体" w:cs="宋体"/>
                <w:sz w:val="20"/>
                <w:szCs w:val="20"/>
              </w:rPr>
              <w:t>10.一键静音功能放便老师与他人勾通.</w:t>
            </w:r>
          </w:p>
          <w:p w14:paraId="5286C44D">
            <w:pPr>
              <w:widowControl/>
              <w:jc w:val="left"/>
              <w:textAlignment w:val="center"/>
              <w:rPr>
                <w:rFonts w:hint="eastAsia" w:ascii="宋体" w:hAnsi="宋体" w:eastAsia="宋体" w:cs="宋体"/>
                <w:sz w:val="20"/>
                <w:szCs w:val="20"/>
              </w:rPr>
            </w:pPr>
            <w:r>
              <w:rPr>
                <w:rFonts w:hint="eastAsia" w:ascii="宋体" w:hAnsi="宋体" w:eastAsia="宋体" w:cs="宋体"/>
                <w:sz w:val="20"/>
                <w:szCs w:val="20"/>
              </w:rPr>
              <w:t>11.无音频信号输入自动降噪静音功能。</w:t>
            </w:r>
          </w:p>
          <w:p w14:paraId="17259903">
            <w:pPr>
              <w:widowControl/>
              <w:jc w:val="left"/>
              <w:textAlignment w:val="center"/>
              <w:rPr>
                <w:rFonts w:hint="eastAsia" w:ascii="宋体" w:hAnsi="宋体" w:eastAsia="宋体" w:cs="宋体"/>
                <w:sz w:val="20"/>
                <w:szCs w:val="20"/>
              </w:rPr>
            </w:pPr>
            <w:r>
              <w:rPr>
                <w:rFonts w:hint="eastAsia" w:ascii="宋体" w:hAnsi="宋体" w:eastAsia="宋体" w:cs="宋体"/>
                <w:sz w:val="20"/>
                <w:szCs w:val="20"/>
              </w:rPr>
              <w:t>12.远距离电子激光教鞭、根据用户要求可增加PPT翻页功能（需配另外PPT翻页器，话筒按键集合该功能）。</w:t>
            </w:r>
          </w:p>
          <w:p w14:paraId="186BD62B">
            <w:pPr>
              <w:widowControl/>
              <w:jc w:val="left"/>
              <w:textAlignment w:val="center"/>
              <w:rPr>
                <w:rFonts w:hint="eastAsia" w:ascii="宋体" w:hAnsi="宋体" w:eastAsia="宋体" w:cs="宋体"/>
                <w:sz w:val="20"/>
                <w:szCs w:val="20"/>
              </w:rPr>
            </w:pPr>
            <w:r>
              <w:rPr>
                <w:rFonts w:hint="eastAsia" w:ascii="宋体" w:hAnsi="宋体" w:eastAsia="宋体" w:cs="宋体"/>
                <w:sz w:val="20"/>
                <w:szCs w:val="20"/>
              </w:rPr>
              <w:t>13.锂电池供电环保节能、连续工作12个小时、待机时间60天。*传输范围：视环境变化约20M*信噪比：≥83dB。</w:t>
            </w:r>
          </w:p>
          <w:p w14:paraId="7C03ED6F">
            <w:pPr>
              <w:widowControl/>
              <w:jc w:val="left"/>
              <w:textAlignment w:val="center"/>
              <w:rPr>
                <w:rFonts w:hint="eastAsia" w:ascii="宋体" w:hAnsi="宋体" w:eastAsia="宋体" w:cs="宋体"/>
                <w:sz w:val="20"/>
                <w:szCs w:val="20"/>
              </w:rPr>
            </w:pPr>
            <w:r>
              <w:rPr>
                <w:rFonts w:hint="eastAsia" w:ascii="宋体" w:hAnsi="宋体" w:eastAsia="宋体" w:cs="宋体"/>
                <w:sz w:val="20"/>
                <w:szCs w:val="20"/>
              </w:rPr>
              <w:t>14.接收灵敏度：85dB±2dB。*工作频率：2400-2485MHz。</w:t>
            </w:r>
          </w:p>
          <w:p w14:paraId="797EDC87">
            <w:pPr>
              <w:widowControl/>
              <w:jc w:val="left"/>
              <w:textAlignment w:val="center"/>
              <w:rPr>
                <w:rFonts w:hint="eastAsia" w:ascii="宋体" w:hAnsi="宋体" w:eastAsia="宋体" w:cs="宋体"/>
                <w:sz w:val="20"/>
                <w:szCs w:val="20"/>
              </w:rPr>
            </w:pPr>
            <w:r>
              <w:rPr>
                <w:rFonts w:hint="eastAsia" w:ascii="宋体" w:hAnsi="宋体" w:eastAsia="宋体" w:cs="宋体"/>
                <w:sz w:val="20"/>
                <w:szCs w:val="20"/>
              </w:rPr>
              <w:t>15.调制方式：QPSK</w:t>
            </w:r>
          </w:p>
        </w:tc>
        <w:tc>
          <w:tcPr>
            <w:tcW w:w="132" w:type="pct"/>
            <w:tcBorders>
              <w:top w:val="single" w:color="auto" w:sz="4" w:space="0"/>
              <w:left w:val="single" w:color="auto" w:sz="4" w:space="0"/>
              <w:bottom w:val="single" w:color="auto" w:sz="4" w:space="0"/>
              <w:right w:val="single" w:color="auto" w:sz="4" w:space="0"/>
            </w:tcBorders>
            <w:vAlign w:val="center"/>
          </w:tcPr>
          <w:p w14:paraId="619E0F9B">
            <w:pPr>
              <w:widowControl/>
              <w:jc w:val="center"/>
              <w:textAlignment w:val="center"/>
              <w:rPr>
                <w:rFonts w:hint="eastAsia" w:ascii="宋体" w:hAnsi="宋体" w:eastAsia="宋体" w:cs="宋体"/>
                <w:sz w:val="20"/>
                <w:szCs w:val="20"/>
              </w:rPr>
            </w:pPr>
            <w:r>
              <w:rPr>
                <w:rFonts w:hint="eastAsia" w:ascii="宋体" w:hAnsi="宋体" w:eastAsia="宋体" w:cs="宋体"/>
                <w:sz w:val="20"/>
                <w:szCs w:val="20"/>
              </w:rPr>
              <w:t>套</w:t>
            </w:r>
          </w:p>
        </w:tc>
        <w:tc>
          <w:tcPr>
            <w:tcW w:w="132" w:type="pct"/>
            <w:tcBorders>
              <w:top w:val="single" w:color="auto" w:sz="4" w:space="0"/>
              <w:left w:val="single" w:color="auto" w:sz="4" w:space="0"/>
              <w:bottom w:val="single" w:color="auto" w:sz="4" w:space="0"/>
              <w:right w:val="single" w:color="auto" w:sz="4" w:space="0"/>
            </w:tcBorders>
            <w:vAlign w:val="center"/>
          </w:tcPr>
          <w:p w14:paraId="2FEF155B">
            <w:pPr>
              <w:widowControl/>
              <w:jc w:val="center"/>
              <w:textAlignment w:val="center"/>
              <w:rPr>
                <w:rFonts w:hint="eastAsia" w:ascii="宋体" w:hAnsi="宋体" w:eastAsia="宋体" w:cs="宋体"/>
                <w:sz w:val="20"/>
                <w:szCs w:val="20"/>
              </w:rPr>
            </w:pPr>
            <w:r>
              <w:rPr>
                <w:rFonts w:hint="eastAsia" w:ascii="宋体" w:hAnsi="宋体" w:eastAsia="宋体" w:cs="宋体"/>
                <w:sz w:val="20"/>
                <w:szCs w:val="20"/>
              </w:rPr>
              <w:t>3</w:t>
            </w:r>
          </w:p>
        </w:tc>
        <w:tc>
          <w:tcPr>
            <w:tcW w:w="259" w:type="pct"/>
            <w:tcBorders>
              <w:top w:val="single" w:color="auto" w:sz="4" w:space="0"/>
              <w:left w:val="single" w:color="auto" w:sz="4" w:space="0"/>
              <w:bottom w:val="single" w:color="auto" w:sz="4" w:space="0"/>
              <w:right w:val="single" w:color="auto" w:sz="4" w:space="0"/>
            </w:tcBorders>
            <w:vAlign w:val="center"/>
          </w:tcPr>
          <w:p w14:paraId="2BE9B2E5">
            <w:pPr>
              <w:widowControl/>
              <w:jc w:val="right"/>
              <w:textAlignment w:val="center"/>
              <w:rPr>
                <w:rFonts w:hint="eastAsia" w:ascii="宋体" w:hAnsi="宋体"/>
                <w:b/>
                <w:bCs/>
                <w:sz w:val="20"/>
                <w:szCs w:val="20"/>
              </w:rPr>
            </w:pPr>
          </w:p>
          <w:p w14:paraId="751FE96C">
            <w:pPr>
              <w:ind w:firstLine="368"/>
              <w:jc w:val="left"/>
            </w:pPr>
          </w:p>
        </w:tc>
        <w:tc>
          <w:tcPr>
            <w:tcW w:w="259" w:type="pct"/>
            <w:tcBorders>
              <w:top w:val="single" w:color="auto" w:sz="4" w:space="0"/>
              <w:left w:val="single" w:color="auto" w:sz="4" w:space="0"/>
              <w:bottom w:val="single" w:color="auto" w:sz="4" w:space="0"/>
              <w:right w:val="single" w:color="auto" w:sz="4" w:space="0"/>
            </w:tcBorders>
            <w:vAlign w:val="center"/>
          </w:tcPr>
          <w:p w14:paraId="395F1965">
            <w:pPr>
              <w:widowControl/>
              <w:jc w:val="center"/>
              <w:textAlignment w:val="center"/>
              <w:rPr>
                <w:rFonts w:hint="eastAsia" w:ascii="宋体" w:hAnsi="宋体"/>
                <w:b/>
                <w:bCs/>
                <w:sz w:val="20"/>
                <w:szCs w:val="20"/>
              </w:rPr>
            </w:pPr>
          </w:p>
        </w:tc>
      </w:tr>
      <w:tr w14:paraId="32A7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9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01A8CEB">
            <w:pPr>
              <w:widowControl/>
              <w:jc w:val="center"/>
              <w:textAlignment w:val="bottom"/>
              <w:rPr>
                <w:rFonts w:hint="eastAsia" w:ascii="宋体" w:hAnsi="宋体"/>
                <w:b/>
                <w:bCs/>
                <w:sz w:val="20"/>
                <w:szCs w:val="20"/>
              </w:rPr>
            </w:pPr>
            <w:r>
              <w:rPr>
                <w:rFonts w:hint="eastAsia" w:ascii="宋体" w:hAnsi="宋体" w:eastAsia="宋体" w:cs="宋体"/>
                <w:kern w:val="0"/>
                <w:sz w:val="20"/>
                <w:szCs w:val="20"/>
                <w:lang w:bidi="ar"/>
              </w:rPr>
              <w:t>3</w:t>
            </w:r>
          </w:p>
        </w:tc>
        <w:tc>
          <w:tcPr>
            <w:tcW w:w="19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ABA464A">
            <w:pPr>
              <w:widowControl/>
              <w:jc w:val="left"/>
              <w:textAlignment w:val="center"/>
              <w:rPr>
                <w:rFonts w:hint="eastAsia" w:ascii="宋体" w:hAnsi="宋体"/>
                <w:sz w:val="20"/>
                <w:szCs w:val="20"/>
              </w:rPr>
            </w:pPr>
            <w:r>
              <w:rPr>
                <w:rFonts w:hint="eastAsia" w:ascii="宋体" w:hAnsi="宋体"/>
                <w:sz w:val="20"/>
                <w:szCs w:val="20"/>
              </w:rPr>
              <w:t>路由器</w:t>
            </w:r>
          </w:p>
        </w:tc>
        <w:tc>
          <w:tcPr>
            <w:tcW w:w="53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13436C8E">
            <w:pPr>
              <w:widowControl/>
              <w:jc w:val="left"/>
              <w:textAlignment w:val="center"/>
              <w:rPr>
                <w:rFonts w:hint="eastAsia" w:ascii="宋体" w:hAnsi="宋体"/>
                <w:sz w:val="20"/>
                <w:szCs w:val="20"/>
              </w:rPr>
            </w:pPr>
            <w:r>
              <w:rPr>
                <w:rFonts w:hint="eastAsia" w:ascii="宋体" w:hAnsi="宋体"/>
                <w:sz w:val="20"/>
                <w:szCs w:val="20"/>
              </w:rPr>
              <w:t>锐捷RG-EG105G-E V2</w:t>
            </w:r>
          </w:p>
        </w:tc>
        <w:tc>
          <w:tcPr>
            <w:tcW w:w="3293"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119271DA">
            <w:pPr>
              <w:widowControl/>
              <w:jc w:val="left"/>
              <w:textAlignment w:val="center"/>
              <w:rPr>
                <w:rFonts w:hint="eastAsia" w:ascii="宋体" w:hAnsi="宋体"/>
                <w:sz w:val="20"/>
                <w:szCs w:val="20"/>
              </w:rPr>
            </w:pPr>
            <w:r>
              <w:rPr>
                <w:rFonts w:hint="eastAsia" w:ascii="宋体" w:hAnsi="宋体"/>
                <w:sz w:val="20"/>
                <w:szCs w:val="20"/>
              </w:rPr>
              <w:t>1.接口：5个10/100/1000Base-T以太网端口，4个WAN口；</w:t>
            </w:r>
          </w:p>
          <w:p w14:paraId="3A268047">
            <w:pPr>
              <w:widowControl/>
              <w:jc w:val="left"/>
              <w:textAlignment w:val="center"/>
              <w:rPr>
                <w:rFonts w:hint="eastAsia" w:ascii="宋体" w:hAnsi="宋体"/>
                <w:sz w:val="20"/>
                <w:szCs w:val="20"/>
              </w:rPr>
            </w:pPr>
            <w:r>
              <w:rPr>
                <w:rFonts w:hint="eastAsia" w:ascii="宋体" w:hAnsi="宋体"/>
                <w:sz w:val="20"/>
                <w:szCs w:val="20"/>
              </w:rPr>
              <w:t>2.性能：接入带宽1500Mbps，吞吐量1500Mbps；</w:t>
            </w:r>
          </w:p>
          <w:p w14:paraId="7213F397">
            <w:pPr>
              <w:widowControl/>
              <w:jc w:val="left"/>
              <w:textAlignment w:val="center"/>
              <w:rPr>
                <w:rFonts w:hint="eastAsia" w:ascii="宋体" w:hAnsi="宋体"/>
                <w:sz w:val="20"/>
                <w:szCs w:val="20"/>
              </w:rPr>
            </w:pPr>
            <w:r>
              <w:rPr>
                <w:rFonts w:hint="eastAsia" w:ascii="宋体" w:hAnsi="宋体"/>
                <w:sz w:val="20"/>
                <w:szCs w:val="20"/>
              </w:rPr>
              <w:t>3.内存：256MB</w:t>
            </w:r>
          </w:p>
          <w:p w14:paraId="0274D2DB">
            <w:pPr>
              <w:widowControl/>
              <w:jc w:val="left"/>
              <w:textAlignment w:val="center"/>
              <w:rPr>
                <w:rFonts w:hint="eastAsia" w:ascii="宋体" w:hAnsi="宋体"/>
                <w:sz w:val="20"/>
                <w:szCs w:val="20"/>
              </w:rPr>
            </w:pPr>
            <w:r>
              <w:rPr>
                <w:rFonts w:hint="eastAsia" w:ascii="宋体" w:hAnsi="宋体"/>
                <w:sz w:val="20"/>
                <w:szCs w:val="20"/>
              </w:rPr>
              <w:t>4.Flash：256MB</w:t>
            </w:r>
          </w:p>
          <w:p w14:paraId="56C9DDB8">
            <w:pPr>
              <w:widowControl/>
              <w:jc w:val="left"/>
              <w:textAlignment w:val="center"/>
              <w:rPr>
                <w:rFonts w:hint="eastAsia" w:ascii="宋体" w:hAnsi="宋体"/>
                <w:sz w:val="20"/>
                <w:szCs w:val="20"/>
              </w:rPr>
            </w:pPr>
            <w:r>
              <w:rPr>
                <w:rFonts w:hint="eastAsia" w:ascii="宋体" w:hAnsi="宋体"/>
                <w:sz w:val="20"/>
                <w:szCs w:val="20"/>
              </w:rPr>
              <w:t>5.支持AC模式，支持AP管理，最大可管理AP数(路由模式)32 台，最大可管理AP数(AC模式)300 台；</w:t>
            </w:r>
          </w:p>
          <w:p w14:paraId="194BC499">
            <w:pPr>
              <w:widowControl/>
              <w:jc w:val="left"/>
              <w:textAlignment w:val="center"/>
              <w:rPr>
                <w:rFonts w:hint="eastAsia" w:ascii="宋体" w:hAnsi="宋体"/>
                <w:sz w:val="20"/>
                <w:szCs w:val="20"/>
              </w:rPr>
            </w:pPr>
            <w:r>
              <w:rPr>
                <w:rFonts w:hint="eastAsia" w:ascii="宋体" w:hAnsi="宋体"/>
                <w:sz w:val="20"/>
                <w:szCs w:val="20"/>
              </w:rPr>
              <w:t>6.支持IPTV，支持带宽叠加，支持端口隔离，支持端口镜像；</w:t>
            </w:r>
          </w:p>
          <w:p w14:paraId="0AC1E984">
            <w:pPr>
              <w:widowControl/>
              <w:jc w:val="left"/>
              <w:textAlignment w:val="center"/>
              <w:rPr>
                <w:rFonts w:hint="eastAsia" w:ascii="宋体" w:hAnsi="宋体"/>
                <w:sz w:val="20"/>
                <w:szCs w:val="20"/>
              </w:rPr>
            </w:pPr>
            <w:r>
              <w:rPr>
                <w:rFonts w:hint="eastAsia" w:ascii="宋体" w:hAnsi="宋体"/>
                <w:sz w:val="20"/>
                <w:szCs w:val="20"/>
              </w:rPr>
              <w:t>7.上网方式：PPPoE、动态IP、静态IP，支持PPPoE服务器，支持PPPoE客户端，支持接入方式自动识别；</w:t>
            </w:r>
          </w:p>
          <w:p w14:paraId="4C282ED1">
            <w:pPr>
              <w:widowControl/>
              <w:jc w:val="left"/>
              <w:textAlignment w:val="center"/>
              <w:rPr>
                <w:rFonts w:hint="eastAsia" w:ascii="宋体" w:hAnsi="宋体"/>
                <w:sz w:val="20"/>
                <w:szCs w:val="20"/>
              </w:rPr>
            </w:pPr>
            <w:r>
              <w:rPr>
                <w:rFonts w:hint="eastAsia" w:ascii="宋体" w:hAnsi="宋体"/>
                <w:sz w:val="20"/>
                <w:szCs w:val="20"/>
              </w:rPr>
              <w:t>8.支持基于应用/应用组的流控，支持流量控制，支持流量审计，支持行为管理；</w:t>
            </w:r>
          </w:p>
          <w:p w14:paraId="3C98D4CE">
            <w:pPr>
              <w:widowControl/>
              <w:jc w:val="left"/>
              <w:textAlignment w:val="center"/>
              <w:rPr>
                <w:rFonts w:hint="eastAsia" w:ascii="宋体" w:hAnsi="宋体"/>
                <w:sz w:val="20"/>
                <w:szCs w:val="20"/>
              </w:rPr>
            </w:pPr>
            <w:r>
              <w:rPr>
                <w:rFonts w:hint="eastAsia" w:ascii="宋体" w:hAnsi="宋体"/>
                <w:sz w:val="20"/>
                <w:szCs w:val="20"/>
              </w:rPr>
              <w:t>9.支持ACL，支持基于时间的ACL，支持IPv6 ACL；</w:t>
            </w:r>
          </w:p>
          <w:p w14:paraId="324B2F87">
            <w:pPr>
              <w:widowControl/>
              <w:jc w:val="left"/>
              <w:textAlignment w:val="center"/>
              <w:rPr>
                <w:rFonts w:hint="eastAsia" w:ascii="宋体" w:hAnsi="宋体"/>
                <w:sz w:val="20"/>
                <w:szCs w:val="20"/>
              </w:rPr>
            </w:pPr>
            <w:r>
              <w:rPr>
                <w:rFonts w:hint="eastAsia" w:ascii="宋体" w:hAnsi="宋体"/>
                <w:sz w:val="20"/>
                <w:szCs w:val="20"/>
              </w:rPr>
              <w:t>10.支持防碎片攻击，支持防Teardrop攻击，支持防畸形包攻击，支持防着陆攻击，支持防Smurf 攻击，支持防SYN泛洪攻击，支持静态ARP绑定；</w:t>
            </w:r>
          </w:p>
        </w:tc>
        <w:tc>
          <w:tcPr>
            <w:tcW w:w="132" w:type="pct"/>
            <w:tcBorders>
              <w:top w:val="single" w:color="auto" w:sz="4" w:space="0"/>
              <w:left w:val="single" w:color="auto" w:sz="4" w:space="0"/>
              <w:bottom w:val="single" w:color="auto" w:sz="4" w:space="0"/>
              <w:right w:val="single" w:color="auto" w:sz="4" w:space="0"/>
            </w:tcBorders>
            <w:vAlign w:val="center"/>
          </w:tcPr>
          <w:p w14:paraId="381A830D">
            <w:pPr>
              <w:widowControl/>
              <w:jc w:val="center"/>
              <w:textAlignment w:val="center"/>
              <w:rPr>
                <w:rFonts w:hint="eastAsia" w:ascii="宋体" w:hAnsi="宋体" w:eastAsia="宋体"/>
                <w:sz w:val="20"/>
                <w:szCs w:val="20"/>
              </w:rPr>
            </w:pPr>
            <w:r>
              <w:rPr>
                <w:rFonts w:hint="eastAsia" w:ascii="宋体" w:hAnsi="宋体" w:eastAsia="宋体"/>
                <w:sz w:val="20"/>
                <w:szCs w:val="20"/>
              </w:rPr>
              <w:t>台</w:t>
            </w:r>
          </w:p>
        </w:tc>
        <w:tc>
          <w:tcPr>
            <w:tcW w:w="132" w:type="pct"/>
            <w:tcBorders>
              <w:top w:val="single" w:color="auto" w:sz="4" w:space="0"/>
              <w:left w:val="single" w:color="auto" w:sz="4" w:space="0"/>
              <w:bottom w:val="single" w:color="auto" w:sz="4" w:space="0"/>
              <w:right w:val="single" w:color="auto" w:sz="4" w:space="0"/>
            </w:tcBorders>
            <w:vAlign w:val="center"/>
          </w:tcPr>
          <w:p w14:paraId="33F344C6">
            <w:pPr>
              <w:widowControl/>
              <w:jc w:val="center"/>
              <w:textAlignment w:val="center"/>
              <w:rPr>
                <w:rFonts w:hint="eastAsia" w:ascii="宋体" w:hAnsi="宋体" w:eastAsia="宋体"/>
                <w:sz w:val="20"/>
                <w:szCs w:val="20"/>
              </w:rPr>
            </w:pPr>
            <w:r>
              <w:rPr>
                <w:rFonts w:hint="eastAsia" w:ascii="宋体" w:hAnsi="宋体" w:eastAsia="宋体"/>
                <w:sz w:val="20"/>
                <w:szCs w:val="20"/>
              </w:rPr>
              <w:t>1</w:t>
            </w:r>
          </w:p>
        </w:tc>
        <w:tc>
          <w:tcPr>
            <w:tcW w:w="259" w:type="pct"/>
            <w:tcBorders>
              <w:top w:val="single" w:color="auto" w:sz="4" w:space="0"/>
              <w:left w:val="single" w:color="auto" w:sz="4" w:space="0"/>
              <w:bottom w:val="single" w:color="auto" w:sz="4" w:space="0"/>
              <w:right w:val="single" w:color="auto" w:sz="4" w:space="0"/>
            </w:tcBorders>
            <w:vAlign w:val="center"/>
          </w:tcPr>
          <w:p w14:paraId="2BC2B19A">
            <w:pPr>
              <w:widowControl/>
              <w:jc w:val="right"/>
              <w:textAlignment w:val="center"/>
              <w:rPr>
                <w:rFonts w:hint="eastAsia" w:ascii="宋体" w:hAnsi="宋体"/>
                <w:b/>
                <w:bCs/>
                <w:sz w:val="20"/>
                <w:szCs w:val="20"/>
              </w:rPr>
            </w:pPr>
          </w:p>
        </w:tc>
        <w:tc>
          <w:tcPr>
            <w:tcW w:w="259" w:type="pct"/>
            <w:tcBorders>
              <w:top w:val="single" w:color="auto" w:sz="4" w:space="0"/>
              <w:left w:val="single" w:color="auto" w:sz="4" w:space="0"/>
              <w:bottom w:val="single" w:color="auto" w:sz="4" w:space="0"/>
              <w:right w:val="single" w:color="auto" w:sz="4" w:space="0"/>
            </w:tcBorders>
            <w:vAlign w:val="center"/>
          </w:tcPr>
          <w:p w14:paraId="4F5BCC87">
            <w:pPr>
              <w:widowControl/>
              <w:jc w:val="center"/>
              <w:textAlignment w:val="center"/>
              <w:rPr>
                <w:rFonts w:hint="eastAsia" w:ascii="宋体" w:hAnsi="宋体"/>
                <w:b/>
                <w:bCs/>
                <w:sz w:val="20"/>
                <w:szCs w:val="20"/>
              </w:rPr>
            </w:pPr>
          </w:p>
        </w:tc>
      </w:tr>
      <w:tr w14:paraId="6015C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9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E13C57D">
            <w:pPr>
              <w:widowControl/>
              <w:jc w:val="center"/>
              <w:textAlignment w:val="bottom"/>
              <w:rPr>
                <w:rFonts w:hint="eastAsia" w:ascii="宋体" w:hAnsi="宋体" w:eastAsia="宋体" w:cs="Times New Roman"/>
                <w:b/>
                <w:bCs/>
                <w:sz w:val="20"/>
                <w:szCs w:val="20"/>
              </w:rPr>
            </w:pPr>
            <w:r>
              <w:rPr>
                <w:rFonts w:hint="eastAsia" w:ascii="宋体" w:hAnsi="宋体" w:eastAsia="宋体" w:cs="宋体"/>
                <w:kern w:val="0"/>
                <w:sz w:val="20"/>
                <w:szCs w:val="20"/>
                <w:lang w:bidi="ar"/>
              </w:rPr>
              <w:t>4</w:t>
            </w:r>
          </w:p>
        </w:tc>
        <w:tc>
          <w:tcPr>
            <w:tcW w:w="19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343A149B">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sz w:val="20"/>
                <w:szCs w:val="20"/>
              </w:rPr>
              <w:t>对讲机</w:t>
            </w:r>
          </w:p>
        </w:tc>
        <w:tc>
          <w:tcPr>
            <w:tcW w:w="53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62F2BD06">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sz w:val="20"/>
                <w:szCs w:val="20"/>
              </w:rPr>
              <w:t>小米对讲机3</w:t>
            </w:r>
          </w:p>
        </w:tc>
        <w:tc>
          <w:tcPr>
            <w:tcW w:w="3293"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24DBDF27">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sz w:val="20"/>
                <w:szCs w:val="20"/>
              </w:rPr>
              <w:t>1.接口类型：Type-C/POGO PIN（充电触点）；</w:t>
            </w:r>
          </w:p>
          <w:p w14:paraId="220CA832">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sz w:val="20"/>
                <w:szCs w:val="20"/>
              </w:rPr>
              <w:t>2.发射功率：≤5W；</w:t>
            </w:r>
          </w:p>
          <w:p w14:paraId="5A9D5583">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sz w:val="20"/>
                <w:szCs w:val="20"/>
              </w:rPr>
              <w:t>3.频段：业余U段，业余V段；</w:t>
            </w:r>
          </w:p>
          <w:p w14:paraId="60E66A24">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sz w:val="20"/>
                <w:szCs w:val="20"/>
              </w:rPr>
              <w:t>4.频率范围：远距离频道：430.000MHz-440.000MHz，自定义频道：430.000MHz-440.000MHz  144.000MHz-148.000MHz；</w:t>
            </w:r>
          </w:p>
          <w:p w14:paraId="0282C1F8">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sz w:val="20"/>
                <w:szCs w:val="20"/>
              </w:rPr>
              <w:t>5.电池类型：18650锂离子电池；</w:t>
            </w:r>
          </w:p>
          <w:p w14:paraId="6D58073B">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sz w:val="20"/>
                <w:szCs w:val="20"/>
              </w:rPr>
              <w:t>6.电池容量：5100mAh；</w:t>
            </w:r>
          </w:p>
          <w:p w14:paraId="651A4EDB">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sz w:val="20"/>
                <w:szCs w:val="20"/>
              </w:rPr>
              <w:t>7.屏幕尺寸：1.77英寸；</w:t>
            </w:r>
          </w:p>
          <w:p w14:paraId="3D501208">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sz w:val="20"/>
                <w:szCs w:val="20"/>
              </w:rPr>
              <w:t>8.耳机接口：3.5mm插口；</w:t>
            </w:r>
          </w:p>
          <w:p w14:paraId="43D09B04">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sz w:val="20"/>
                <w:szCs w:val="20"/>
              </w:rPr>
              <w:t>9.调制方式：16KOF3E/8K5OF3E；</w:t>
            </w:r>
          </w:p>
          <w:p w14:paraId="4C23AA8A">
            <w:pPr>
              <w:widowControl/>
              <w:jc w:val="left"/>
              <w:textAlignment w:val="center"/>
              <w:rPr>
                <w:rFonts w:ascii="Times New Roman" w:hAnsi="Times New Roman" w:eastAsia="宋体" w:cs="Times New Roman"/>
                <w:sz w:val="20"/>
                <w:szCs w:val="20"/>
              </w:rPr>
            </w:pPr>
            <w:r>
              <w:rPr>
                <w:rFonts w:hint="eastAsia" w:ascii="Times New Roman" w:hAnsi="Times New Roman" w:eastAsia="宋体" w:cs="Times New Roman"/>
                <w:sz w:val="20"/>
                <w:szCs w:val="20"/>
              </w:rPr>
              <w:t>10.防护等级：IP65；</w:t>
            </w:r>
          </w:p>
        </w:tc>
        <w:tc>
          <w:tcPr>
            <w:tcW w:w="132" w:type="pct"/>
            <w:tcBorders>
              <w:top w:val="single" w:color="auto" w:sz="4" w:space="0"/>
              <w:left w:val="single" w:color="auto" w:sz="4" w:space="0"/>
              <w:bottom w:val="single" w:color="auto" w:sz="4" w:space="0"/>
              <w:right w:val="single" w:color="auto" w:sz="4" w:space="0"/>
            </w:tcBorders>
            <w:vAlign w:val="center"/>
          </w:tcPr>
          <w:p w14:paraId="72BE17CF">
            <w:pPr>
              <w:widowControl/>
              <w:jc w:val="center"/>
              <w:textAlignment w:val="center"/>
              <w:rPr>
                <w:rFonts w:ascii="Times New Roman" w:hAnsi="Times New Roman" w:eastAsia="宋体" w:cs="Times New Roman"/>
                <w:sz w:val="20"/>
                <w:szCs w:val="20"/>
              </w:rPr>
            </w:pPr>
            <w:r>
              <w:rPr>
                <w:rFonts w:hint="eastAsia" w:ascii="Times New Roman" w:hAnsi="Times New Roman" w:eastAsia="宋体" w:cs="Times New Roman"/>
                <w:sz w:val="20"/>
                <w:szCs w:val="20"/>
              </w:rPr>
              <w:t>台</w:t>
            </w:r>
          </w:p>
        </w:tc>
        <w:tc>
          <w:tcPr>
            <w:tcW w:w="132" w:type="pct"/>
            <w:tcBorders>
              <w:top w:val="single" w:color="auto" w:sz="4" w:space="0"/>
              <w:left w:val="single" w:color="auto" w:sz="4" w:space="0"/>
              <w:bottom w:val="single" w:color="auto" w:sz="4" w:space="0"/>
              <w:right w:val="single" w:color="auto" w:sz="4" w:space="0"/>
            </w:tcBorders>
            <w:vAlign w:val="center"/>
          </w:tcPr>
          <w:p w14:paraId="50401E60">
            <w:pPr>
              <w:widowControl/>
              <w:jc w:val="center"/>
              <w:textAlignment w:val="center"/>
              <w:rPr>
                <w:rFonts w:ascii="Times New Roman" w:hAnsi="Times New Roman" w:eastAsia="宋体" w:cs="Times New Roman"/>
                <w:sz w:val="20"/>
                <w:szCs w:val="20"/>
              </w:rPr>
            </w:pPr>
            <w:r>
              <w:rPr>
                <w:rFonts w:hint="eastAsia" w:ascii="Times New Roman" w:hAnsi="Times New Roman" w:eastAsia="宋体" w:cs="Times New Roman"/>
                <w:sz w:val="20"/>
                <w:szCs w:val="20"/>
              </w:rPr>
              <w:t>6</w:t>
            </w:r>
          </w:p>
        </w:tc>
        <w:tc>
          <w:tcPr>
            <w:tcW w:w="259" w:type="pct"/>
            <w:tcBorders>
              <w:top w:val="single" w:color="auto" w:sz="4" w:space="0"/>
              <w:left w:val="single" w:color="auto" w:sz="4" w:space="0"/>
              <w:bottom w:val="single" w:color="auto" w:sz="4" w:space="0"/>
              <w:right w:val="single" w:color="auto" w:sz="4" w:space="0"/>
            </w:tcBorders>
            <w:vAlign w:val="center"/>
          </w:tcPr>
          <w:p w14:paraId="52E3DBA9">
            <w:pPr>
              <w:widowControl/>
              <w:tabs>
                <w:tab w:val="left" w:pos="304"/>
              </w:tabs>
              <w:jc w:val="left"/>
              <w:textAlignment w:val="center"/>
              <w:rPr>
                <w:rFonts w:hint="eastAsia" w:ascii="宋体" w:hAnsi="宋体"/>
                <w:b/>
                <w:bCs/>
                <w:sz w:val="20"/>
                <w:szCs w:val="20"/>
              </w:rPr>
            </w:pPr>
            <w:r>
              <w:rPr>
                <w:rFonts w:hint="eastAsia" w:ascii="宋体" w:hAnsi="宋体"/>
                <w:b/>
                <w:bCs/>
                <w:sz w:val="20"/>
                <w:szCs w:val="20"/>
              </w:rPr>
              <w:tab/>
            </w:r>
          </w:p>
        </w:tc>
        <w:tc>
          <w:tcPr>
            <w:tcW w:w="259" w:type="pct"/>
            <w:tcBorders>
              <w:top w:val="single" w:color="auto" w:sz="4" w:space="0"/>
              <w:left w:val="single" w:color="auto" w:sz="4" w:space="0"/>
              <w:bottom w:val="single" w:color="auto" w:sz="4" w:space="0"/>
              <w:right w:val="single" w:color="auto" w:sz="4" w:space="0"/>
            </w:tcBorders>
            <w:vAlign w:val="center"/>
          </w:tcPr>
          <w:p w14:paraId="2535C12F">
            <w:pPr>
              <w:widowControl/>
              <w:jc w:val="center"/>
              <w:textAlignment w:val="center"/>
              <w:rPr>
                <w:rFonts w:hint="eastAsia" w:ascii="宋体" w:hAnsi="宋体"/>
                <w:b/>
                <w:bCs/>
                <w:sz w:val="20"/>
                <w:szCs w:val="20"/>
              </w:rPr>
            </w:pPr>
          </w:p>
        </w:tc>
      </w:tr>
      <w:tr w14:paraId="5BC37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50" w:type="pct"/>
            <w:gridSpan w:val="5"/>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859631C">
            <w:pPr>
              <w:snapToGrid w:val="0"/>
              <w:jc w:val="left"/>
              <w:rPr>
                <w:rFonts w:hint="eastAsia" w:ascii="宋体" w:hAnsi="宋体"/>
                <w:b/>
                <w:bCs/>
                <w:szCs w:val="21"/>
              </w:rPr>
            </w:pPr>
          </w:p>
        </w:tc>
        <w:tc>
          <w:tcPr>
            <w:tcW w:w="650" w:type="pct"/>
            <w:gridSpan w:val="3"/>
            <w:tcBorders>
              <w:top w:val="single" w:color="auto" w:sz="4" w:space="0"/>
              <w:left w:val="single" w:color="auto" w:sz="4" w:space="0"/>
              <w:bottom w:val="single" w:color="auto" w:sz="4" w:space="0"/>
              <w:right w:val="single" w:color="auto" w:sz="4" w:space="0"/>
            </w:tcBorders>
            <w:vAlign w:val="center"/>
          </w:tcPr>
          <w:p w14:paraId="374AEF6D">
            <w:pPr>
              <w:snapToGrid w:val="0"/>
              <w:jc w:val="left"/>
              <w:rPr>
                <w:rFonts w:hint="eastAsia" w:ascii="宋体" w:hAnsi="宋体"/>
                <w:b/>
                <w:bCs/>
                <w:szCs w:val="21"/>
              </w:rPr>
            </w:pPr>
          </w:p>
        </w:tc>
      </w:tr>
      <w:tr w14:paraId="6F2C5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50" w:type="pct"/>
            <w:gridSpan w:val="5"/>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5DDE0E91">
            <w:pPr>
              <w:snapToGrid w:val="0"/>
              <w:jc w:val="left"/>
              <w:rPr>
                <w:rFonts w:hint="eastAsia" w:ascii="宋体" w:hAnsi="宋体"/>
                <w:b/>
                <w:bCs/>
                <w:szCs w:val="21"/>
              </w:rPr>
            </w:pPr>
            <w:r>
              <w:rPr>
                <w:rFonts w:hint="eastAsia" w:ascii="宋体" w:hAnsi="宋体"/>
                <w:b/>
                <w:bCs/>
                <w:szCs w:val="21"/>
              </w:rPr>
              <w:t>合计（大写：人民XXXXXX 元整）</w:t>
            </w:r>
          </w:p>
        </w:tc>
        <w:tc>
          <w:tcPr>
            <w:tcW w:w="650" w:type="pct"/>
            <w:gridSpan w:val="3"/>
            <w:tcBorders>
              <w:top w:val="single" w:color="auto" w:sz="4" w:space="0"/>
              <w:left w:val="single" w:color="auto" w:sz="4" w:space="0"/>
              <w:bottom w:val="single" w:color="auto" w:sz="4" w:space="0"/>
              <w:right w:val="single" w:color="auto" w:sz="4" w:space="0"/>
            </w:tcBorders>
            <w:vAlign w:val="center"/>
          </w:tcPr>
          <w:p w14:paraId="6838B27F">
            <w:pPr>
              <w:snapToGrid w:val="0"/>
              <w:jc w:val="left"/>
              <w:rPr>
                <w:rFonts w:hint="eastAsia" w:ascii="宋体" w:hAnsi="宋体"/>
                <w:b/>
                <w:bCs/>
                <w:szCs w:val="21"/>
              </w:rPr>
            </w:pPr>
            <w:r>
              <w:rPr>
                <w:rFonts w:hint="eastAsia" w:ascii="宋体" w:hAnsi="宋体"/>
                <w:b/>
                <w:bCs/>
                <w:szCs w:val="21"/>
              </w:rPr>
              <w:t>（小写）¥ XXXX 元</w:t>
            </w:r>
          </w:p>
        </w:tc>
      </w:tr>
      <w:tr w14:paraId="7B5AD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000" w:type="pct"/>
            <w:gridSpan w:val="8"/>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4602C0F">
            <w:pPr>
              <w:snapToGrid w:val="0"/>
              <w:jc w:val="left"/>
              <w:rPr>
                <w:rFonts w:hint="eastAsia" w:ascii="宋体" w:hAnsi="宋体"/>
                <w:b/>
                <w:bCs/>
                <w:szCs w:val="21"/>
              </w:rPr>
            </w:pPr>
            <w:r>
              <w:rPr>
                <w:rFonts w:hint="eastAsia" w:ascii="宋体" w:hAnsi="宋体"/>
                <w:b/>
                <w:bCs/>
                <w:szCs w:val="21"/>
              </w:rPr>
              <w:t>二、商务要求</w:t>
            </w:r>
          </w:p>
        </w:tc>
      </w:tr>
      <w:tr w14:paraId="44572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trPr>
        <w:tc>
          <w:tcPr>
            <w:tcW w:w="389" w:type="pct"/>
            <w:gridSpan w:val="2"/>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4984610">
            <w:pPr>
              <w:snapToGrid w:val="0"/>
              <w:jc w:val="left"/>
              <w:rPr>
                <w:rFonts w:hint="eastAsia" w:ascii="宋体" w:hAnsi="宋体"/>
                <w:b/>
                <w:bCs/>
                <w:szCs w:val="21"/>
              </w:rPr>
            </w:pPr>
            <w:r>
              <w:rPr>
                <w:rFonts w:hint="eastAsia" w:ascii="宋体" w:hAnsi="宋体"/>
                <w:b/>
                <w:bCs/>
                <w:szCs w:val="21"/>
              </w:rPr>
              <w:t>质保期</w:t>
            </w:r>
          </w:p>
        </w:tc>
        <w:tc>
          <w:tcPr>
            <w:tcW w:w="4611" w:type="pct"/>
            <w:gridSpan w:val="6"/>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2D7C8A6A">
            <w:pPr>
              <w:snapToGrid w:val="0"/>
              <w:jc w:val="left"/>
              <w:rPr>
                <w:rFonts w:hint="eastAsia" w:ascii="宋体" w:hAnsi="宋体"/>
                <w:b/>
                <w:bCs/>
                <w:szCs w:val="21"/>
              </w:rPr>
            </w:pPr>
            <w:r>
              <w:rPr>
                <w:rFonts w:hint="eastAsia" w:ascii="宋体" w:hAnsi="宋体"/>
                <w:b/>
                <w:bCs/>
                <w:szCs w:val="21"/>
              </w:rPr>
              <w:t>例：</w:t>
            </w:r>
          </w:p>
          <w:p w14:paraId="70372B4F">
            <w:pPr>
              <w:snapToGrid w:val="0"/>
              <w:jc w:val="left"/>
              <w:rPr>
                <w:rFonts w:hint="eastAsia" w:ascii="宋体" w:hAnsi="宋体"/>
                <w:b/>
                <w:bCs/>
                <w:szCs w:val="21"/>
              </w:rPr>
            </w:pPr>
            <w:r>
              <w:rPr>
                <w:rFonts w:hint="eastAsia" w:ascii="宋体" w:hAnsi="宋体"/>
                <w:b/>
                <w:bCs/>
                <w:szCs w:val="21"/>
              </w:rPr>
              <w:t>1.按国家有关产品“三包”规定执行“三包”，自交货验收合格之日起所有软硬件设备、配件提供 3年的免费质保及软件免费升级服务（分项货物要求中有特别注明的，按特别注明的执行）。</w:t>
            </w:r>
          </w:p>
          <w:p w14:paraId="0F65DD72">
            <w:pPr>
              <w:snapToGrid w:val="0"/>
              <w:jc w:val="left"/>
              <w:rPr>
                <w:rFonts w:hint="eastAsia" w:ascii="宋体" w:hAnsi="宋体"/>
                <w:b/>
                <w:bCs/>
                <w:szCs w:val="21"/>
              </w:rPr>
            </w:pPr>
            <w:r>
              <w:rPr>
                <w:rFonts w:hint="eastAsia" w:ascii="宋体" w:hAnsi="宋体"/>
                <w:b/>
                <w:bCs/>
                <w:szCs w:val="21"/>
              </w:rPr>
              <w:t>2.从通过验收即日起质保期/服务期内所有由于质量问题导致的软、硬件产品故障以免费保修、免费人工及免费更换备件标准上门服务，并提供终身维护。</w:t>
            </w:r>
          </w:p>
        </w:tc>
      </w:tr>
      <w:tr w14:paraId="374A2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trPr>
        <w:tc>
          <w:tcPr>
            <w:tcW w:w="389" w:type="pct"/>
            <w:gridSpan w:val="2"/>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35EA1FD2">
            <w:pPr>
              <w:widowControl/>
              <w:jc w:val="left"/>
              <w:textAlignment w:val="center"/>
              <w:rPr>
                <w:rFonts w:hint="eastAsia" w:ascii="宋体" w:hAnsi="宋体"/>
                <w:b/>
                <w:bCs/>
                <w:szCs w:val="21"/>
              </w:rPr>
            </w:pPr>
            <w:r>
              <w:rPr>
                <w:rFonts w:hint="eastAsia" w:ascii="宋体" w:hAnsi="宋体" w:cs="宋体"/>
                <w:b/>
                <w:bCs/>
              </w:rPr>
              <w:t>报价说明</w:t>
            </w:r>
          </w:p>
        </w:tc>
        <w:tc>
          <w:tcPr>
            <w:tcW w:w="4611" w:type="pct"/>
            <w:gridSpan w:val="6"/>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655F440C">
            <w:pPr>
              <w:rPr>
                <w:rFonts w:hint="eastAsia" w:ascii="宋体" w:hAnsi="宋体" w:cs="宋体"/>
              </w:rPr>
            </w:pPr>
            <w:r>
              <w:rPr>
                <w:rFonts w:hint="eastAsia" w:ascii="宋体" w:hAnsi="宋体" w:cs="宋体"/>
              </w:rPr>
              <w:t>报</w:t>
            </w:r>
            <w:r>
              <w:rPr>
                <w:rFonts w:ascii="宋体" w:hAnsi="宋体" w:cs="宋体"/>
              </w:rPr>
              <w:t>价为采购人指定地点的现场</w:t>
            </w:r>
            <w:r>
              <w:rPr>
                <w:rFonts w:hint="eastAsia" w:ascii="宋体" w:hAnsi="宋体" w:cs="宋体"/>
              </w:rPr>
              <w:t>交付价格</w:t>
            </w:r>
            <w:r>
              <w:rPr>
                <w:rFonts w:ascii="宋体" w:hAnsi="宋体" w:cs="宋体"/>
              </w:rPr>
              <w:t>，包括但不限于：</w:t>
            </w:r>
          </w:p>
          <w:p w14:paraId="285EA3D5">
            <w:pPr>
              <w:rPr>
                <w:rFonts w:hint="eastAsia" w:ascii="宋体" w:hAnsi="宋体" w:cs="宋体"/>
              </w:rPr>
            </w:pPr>
            <w:r>
              <w:rPr>
                <w:rFonts w:ascii="宋体" w:hAnsi="宋体" w:cs="宋体"/>
              </w:rPr>
              <w:t>1）</w:t>
            </w:r>
            <w:r>
              <w:rPr>
                <w:rFonts w:hint="eastAsia" w:ascii="宋体" w:hAnsi="宋体" w:cs="宋体"/>
              </w:rPr>
              <w:t>采购内容中所有</w:t>
            </w:r>
            <w:r>
              <w:rPr>
                <w:rFonts w:ascii="宋体" w:hAnsi="宋体" w:cs="宋体"/>
              </w:rPr>
              <w:t>货物</w:t>
            </w:r>
            <w:r>
              <w:rPr>
                <w:rFonts w:hint="eastAsia" w:ascii="宋体" w:hAnsi="宋体" w:cs="宋体"/>
              </w:rPr>
              <w:t>和</w:t>
            </w:r>
            <w:r>
              <w:rPr>
                <w:rFonts w:ascii="宋体" w:hAnsi="宋体" w:cs="宋体"/>
              </w:rPr>
              <w:t>服务的价格；</w:t>
            </w:r>
          </w:p>
          <w:p w14:paraId="3B6B0CC9">
            <w:pPr>
              <w:rPr>
                <w:rFonts w:hint="eastAsia" w:ascii="宋体" w:hAnsi="宋体" w:cs="宋体"/>
              </w:rPr>
            </w:pPr>
            <w:r>
              <w:rPr>
                <w:rFonts w:ascii="宋体" w:hAnsi="宋体" w:cs="宋体"/>
              </w:rPr>
              <w:t>2）货物的标准附件、备品备件、专用工具的价格；</w:t>
            </w:r>
          </w:p>
          <w:p w14:paraId="742111A6">
            <w:pPr>
              <w:rPr>
                <w:rFonts w:hint="eastAsia" w:ascii="宋体" w:hAnsi="宋体" w:cs="宋体"/>
              </w:rPr>
            </w:pPr>
            <w:r>
              <w:rPr>
                <w:rFonts w:ascii="宋体" w:hAnsi="宋体" w:cs="宋体"/>
              </w:rPr>
              <w:t>3）运输、装卸、</w:t>
            </w:r>
            <w:r>
              <w:rPr>
                <w:rFonts w:hint="eastAsia" w:ascii="宋体" w:hAnsi="宋体" w:cs="宋体"/>
              </w:rPr>
              <w:t>安装（含安装材料）、</w:t>
            </w:r>
            <w:r>
              <w:rPr>
                <w:rFonts w:ascii="宋体" w:hAnsi="宋体" w:cs="宋体"/>
              </w:rPr>
              <w:t>调试、培训、技术支持、售后服务</w:t>
            </w:r>
            <w:r>
              <w:rPr>
                <w:rFonts w:hint="eastAsia" w:ascii="宋体" w:hAnsi="宋体" w:cs="宋体"/>
              </w:rPr>
              <w:t>的费用，</w:t>
            </w:r>
            <w:r>
              <w:rPr>
                <w:rFonts w:ascii="宋体" w:hAnsi="宋体" w:cs="宋体"/>
              </w:rPr>
              <w:t>质保期内免费</w:t>
            </w:r>
            <w:r>
              <w:rPr>
                <w:rFonts w:hint="eastAsia" w:ascii="宋体" w:hAnsi="宋体" w:cs="宋体"/>
              </w:rPr>
              <w:t>维修、养</w:t>
            </w:r>
            <w:r>
              <w:rPr>
                <w:rFonts w:ascii="宋体" w:hAnsi="宋体" w:cs="宋体"/>
              </w:rPr>
              <w:t>护</w:t>
            </w:r>
            <w:r>
              <w:rPr>
                <w:rFonts w:hint="eastAsia" w:ascii="宋体" w:hAnsi="宋体" w:cs="宋体"/>
              </w:rPr>
              <w:t>、软件升级</w:t>
            </w:r>
            <w:r>
              <w:rPr>
                <w:rFonts w:ascii="宋体" w:hAnsi="宋体" w:cs="宋体"/>
              </w:rPr>
              <w:t>等费用；</w:t>
            </w:r>
          </w:p>
          <w:p w14:paraId="528761AE">
            <w:pPr>
              <w:rPr>
                <w:rFonts w:hint="eastAsia" w:ascii="宋体" w:hAnsi="宋体"/>
                <w:b/>
                <w:bCs/>
                <w:szCs w:val="21"/>
              </w:rPr>
            </w:pPr>
            <w:r>
              <w:rPr>
                <w:rFonts w:ascii="宋体" w:hAnsi="宋体" w:cs="宋体"/>
              </w:rPr>
              <w:t>4）必要的保险</w:t>
            </w:r>
            <w:r>
              <w:rPr>
                <w:rFonts w:hint="eastAsia" w:ascii="宋体" w:hAnsi="宋体" w:cs="宋体"/>
              </w:rPr>
              <w:t>、检测</w:t>
            </w:r>
            <w:r>
              <w:rPr>
                <w:rFonts w:ascii="宋体" w:hAnsi="宋体" w:cs="宋体"/>
              </w:rPr>
              <w:t>费用和各项税费</w:t>
            </w:r>
            <w:r>
              <w:rPr>
                <w:rFonts w:hint="eastAsia" w:ascii="宋体" w:hAnsi="宋体" w:cs="宋体"/>
              </w:rPr>
              <w:t>等。</w:t>
            </w:r>
          </w:p>
        </w:tc>
      </w:tr>
      <w:tr w14:paraId="1BAC2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trPr>
        <w:tc>
          <w:tcPr>
            <w:tcW w:w="389" w:type="pct"/>
            <w:gridSpan w:val="2"/>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7E35FA9B">
            <w:pPr>
              <w:widowControl/>
              <w:jc w:val="left"/>
              <w:textAlignment w:val="center"/>
              <w:rPr>
                <w:rFonts w:hint="eastAsia" w:ascii="宋体" w:hAnsi="宋体"/>
                <w:b/>
                <w:bCs/>
                <w:szCs w:val="21"/>
              </w:rPr>
            </w:pPr>
            <w:r>
              <w:rPr>
                <w:rFonts w:hint="eastAsia" w:cs="宋体" w:asciiTheme="minorEastAsia" w:hAnsiTheme="minorEastAsia"/>
                <w:b/>
                <w:bCs/>
              </w:rPr>
              <w:t>质保期</w:t>
            </w:r>
          </w:p>
        </w:tc>
        <w:tc>
          <w:tcPr>
            <w:tcW w:w="4611" w:type="pct"/>
            <w:gridSpan w:val="6"/>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2FD25BDA">
            <w:pPr>
              <w:rPr>
                <w:rFonts w:hint="eastAsia" w:ascii="宋体" w:hAnsi="宋体" w:cs="宋体"/>
              </w:rPr>
            </w:pPr>
            <w:r>
              <w:rPr>
                <w:rFonts w:ascii="宋体" w:hAnsi="宋体" w:cs="宋体"/>
                <w:b/>
              </w:rPr>
              <w:t>1.</w:t>
            </w:r>
            <w:r>
              <w:rPr>
                <w:rFonts w:hint="eastAsia" w:ascii="宋体" w:hAnsi="宋体" w:cs="宋体"/>
                <w:b/>
              </w:rPr>
              <w:t>质保期</w:t>
            </w:r>
            <w:r>
              <w:rPr>
                <w:rFonts w:hint="eastAsia" w:ascii="宋体" w:hAnsi="宋体" w:cs="宋体"/>
                <w:b/>
                <w:u w:val="single"/>
              </w:rPr>
              <w:t>三</w:t>
            </w:r>
            <w:r>
              <w:rPr>
                <w:rFonts w:hint="eastAsia" w:ascii="宋体" w:hAnsi="宋体" w:cs="宋体"/>
                <w:b/>
              </w:rPr>
              <w:t>年。</w:t>
            </w:r>
            <w:r>
              <w:rPr>
                <w:rFonts w:hint="eastAsia" w:ascii="宋体" w:hAnsi="宋体" w:cs="宋体"/>
              </w:rPr>
              <w:t>（分项货物服务要求中有特别注明的，按特别注明的执行）</w:t>
            </w:r>
          </w:p>
          <w:p w14:paraId="138A28DE">
            <w:pPr>
              <w:rPr>
                <w:rFonts w:hint="eastAsia" w:ascii="宋体" w:hAnsi="宋体" w:cs="宋体"/>
              </w:rPr>
            </w:pPr>
            <w:r>
              <w:rPr>
                <w:rFonts w:hint="eastAsia" w:ascii="宋体" w:hAnsi="宋体" w:cs="宋体"/>
              </w:rPr>
              <w:t>2.所有货物服务</w:t>
            </w:r>
            <w:r>
              <w:rPr>
                <w:rFonts w:ascii="宋体" w:hAnsi="宋体" w:cs="宋体"/>
              </w:rPr>
              <w:t>按</w:t>
            </w:r>
            <w:r>
              <w:rPr>
                <w:rFonts w:hint="eastAsia" w:ascii="宋体" w:hAnsi="宋体" w:cs="宋体"/>
              </w:rPr>
              <w:t>国家</w:t>
            </w:r>
            <w:r>
              <w:rPr>
                <w:rFonts w:ascii="宋体" w:hAnsi="宋体" w:cs="宋体"/>
              </w:rPr>
              <w:t>“三包”</w:t>
            </w:r>
            <w:r>
              <w:rPr>
                <w:rFonts w:hint="eastAsia" w:ascii="宋体" w:hAnsi="宋体" w:cs="宋体"/>
              </w:rPr>
              <w:t>有关</w:t>
            </w:r>
            <w:r>
              <w:rPr>
                <w:rFonts w:ascii="宋体" w:hAnsi="宋体" w:cs="宋体"/>
              </w:rPr>
              <w:t>规定执行“三包”</w:t>
            </w:r>
            <w:r>
              <w:rPr>
                <w:rFonts w:hint="eastAsia" w:ascii="宋体" w:hAnsi="宋体" w:cs="宋体"/>
              </w:rPr>
              <w:t>。质保期自交付验收合格之日起计算，质保期内提供上门维修、更换和软件升级服务；质保期结束后，提供终身维护，并优惠提供相关零配件。</w:t>
            </w:r>
          </w:p>
          <w:p w14:paraId="74475D23">
            <w:pPr>
              <w:snapToGrid w:val="0"/>
              <w:jc w:val="left"/>
              <w:rPr>
                <w:rFonts w:hint="eastAsia" w:ascii="宋体" w:hAnsi="宋体"/>
                <w:b/>
                <w:bCs/>
                <w:szCs w:val="21"/>
              </w:rPr>
            </w:pPr>
            <w:r>
              <w:rPr>
                <w:rFonts w:hint="eastAsia" w:ascii="宋体" w:hAnsi="宋体"/>
                <w:b/>
                <w:bCs/>
                <w:szCs w:val="21"/>
              </w:rPr>
              <w:t>1.按国家有关产品“三包”规定执行“三包”，自交货验收合格之日起所有软硬件设备、配件提供 一 年的免费质保及软件免费升级服务（分项货物要求中有特别注明的，按特别注明的执行）。</w:t>
            </w:r>
          </w:p>
          <w:p w14:paraId="716C1DDB">
            <w:pPr>
              <w:rPr>
                <w:rFonts w:hint="eastAsia" w:ascii="宋体" w:hAnsi="宋体" w:cs="宋体"/>
              </w:rPr>
            </w:pPr>
            <w:r>
              <w:rPr>
                <w:rFonts w:hint="eastAsia" w:ascii="宋体" w:hAnsi="宋体"/>
                <w:b/>
                <w:bCs/>
                <w:szCs w:val="21"/>
              </w:rPr>
              <w:t>2.从通过验收即日起质保期/服务期内所有由于质量问题导致的软、硬件产品故障以免费保修、免费人工及免费更换备件标准上门服务，并提供终身维护。</w:t>
            </w:r>
          </w:p>
          <w:p w14:paraId="6D808DEA">
            <w:pPr>
              <w:rPr>
                <w:rFonts w:hint="eastAsia" w:ascii="宋体" w:hAnsi="宋体"/>
                <w:b/>
                <w:bCs/>
                <w:szCs w:val="21"/>
              </w:rPr>
            </w:pPr>
            <w:r>
              <w:rPr>
                <w:rFonts w:hint="eastAsia" w:asciiTheme="minorEastAsia" w:hAnsiTheme="minorEastAsia"/>
              </w:rPr>
              <w:t>（填写按照上述报价，供方可承诺给采购方的</w:t>
            </w:r>
            <w:r>
              <w:rPr>
                <w:rFonts w:hint="eastAsia" w:asciiTheme="minorEastAsia" w:hAnsiTheme="minorEastAsia"/>
                <w:b/>
              </w:rPr>
              <w:t>最长</w:t>
            </w:r>
            <w:r>
              <w:rPr>
                <w:rFonts w:hint="eastAsia" w:asciiTheme="minorEastAsia" w:hAnsiTheme="minorEastAsia"/>
              </w:rPr>
              <w:t>质保期或服务期）</w:t>
            </w:r>
          </w:p>
        </w:tc>
      </w:tr>
      <w:tr w14:paraId="552B0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trPr>
        <w:tc>
          <w:tcPr>
            <w:tcW w:w="389" w:type="pct"/>
            <w:gridSpan w:val="2"/>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077C57FB">
            <w:pPr>
              <w:widowControl/>
              <w:jc w:val="left"/>
              <w:textAlignment w:val="center"/>
              <w:rPr>
                <w:rFonts w:hint="eastAsia" w:cs="宋体" w:asciiTheme="minorEastAsia" w:hAnsiTheme="minorEastAsia"/>
                <w:b/>
                <w:bCs/>
              </w:rPr>
            </w:pPr>
            <w:r>
              <w:rPr>
                <w:rFonts w:hint="eastAsia" w:cs="宋体" w:asciiTheme="minorEastAsia" w:hAnsiTheme="minorEastAsia"/>
                <w:b/>
                <w:bCs/>
              </w:rPr>
              <w:t>产品及售后服务要求</w:t>
            </w:r>
          </w:p>
        </w:tc>
        <w:tc>
          <w:tcPr>
            <w:tcW w:w="4611" w:type="pct"/>
            <w:gridSpan w:val="6"/>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385DD3E2">
            <w:pPr>
              <w:rPr>
                <w:rFonts w:hint="eastAsia" w:cs="宋体" w:asciiTheme="minorEastAsia" w:hAnsiTheme="minorEastAsia"/>
              </w:rPr>
            </w:pPr>
            <w:r>
              <w:rPr>
                <w:rFonts w:cs="宋体" w:asciiTheme="minorEastAsia" w:hAnsiTheme="minorEastAsia"/>
              </w:rPr>
              <w:t>1.</w:t>
            </w:r>
            <w:r>
              <w:rPr>
                <w:rFonts w:hint="eastAsia" w:cs="宋体" w:asciiTheme="minorEastAsia" w:hAnsiTheme="minorEastAsia"/>
              </w:rPr>
              <w:t>成交人</w:t>
            </w:r>
            <w:r>
              <w:rPr>
                <w:rFonts w:cs="宋体" w:asciiTheme="minorEastAsia" w:hAnsiTheme="minorEastAsia"/>
              </w:rPr>
              <w:t>交付的所有</w:t>
            </w:r>
            <w:r>
              <w:rPr>
                <w:rFonts w:cs="宋体" w:asciiTheme="minorEastAsia" w:hAnsiTheme="minorEastAsia"/>
                <w:b/>
              </w:rPr>
              <w:t>设备</w:t>
            </w:r>
            <w:r>
              <w:rPr>
                <w:rFonts w:cs="宋体" w:asciiTheme="minorEastAsia" w:hAnsiTheme="minorEastAsia"/>
              </w:rPr>
              <w:t>必须是签订合同之日</w:t>
            </w:r>
            <w:r>
              <w:rPr>
                <w:rFonts w:cs="宋体" w:asciiTheme="minorEastAsia" w:hAnsiTheme="minorEastAsia"/>
                <w:b/>
              </w:rPr>
              <w:t>前</w:t>
            </w:r>
            <w:r>
              <w:rPr>
                <w:rFonts w:cs="宋体" w:asciiTheme="minorEastAsia" w:hAnsiTheme="minorEastAsia"/>
                <w:b/>
                <w:u w:val="single"/>
              </w:rPr>
              <w:t xml:space="preserve">  </w:t>
            </w:r>
            <w:r>
              <w:rPr>
                <w:rFonts w:hint="eastAsia" w:cs="宋体" w:asciiTheme="minorEastAsia" w:hAnsiTheme="minorEastAsia"/>
                <w:b/>
                <w:u w:val="single"/>
              </w:rPr>
              <w:t>1</w:t>
            </w:r>
            <w:r>
              <w:rPr>
                <w:rFonts w:cs="宋体" w:asciiTheme="minorEastAsia" w:hAnsiTheme="minorEastAsia"/>
                <w:b/>
                <w:u w:val="single"/>
              </w:rPr>
              <w:t xml:space="preserve">  </w:t>
            </w:r>
            <w:r>
              <w:rPr>
                <w:rFonts w:cs="宋体" w:asciiTheme="minorEastAsia" w:hAnsiTheme="minorEastAsia"/>
                <w:b/>
              </w:rPr>
              <w:t>年</w:t>
            </w:r>
            <w:r>
              <w:rPr>
                <w:rFonts w:cs="宋体" w:asciiTheme="minorEastAsia" w:hAnsiTheme="minorEastAsia"/>
              </w:rPr>
              <w:t>内生产的产品。</w:t>
            </w:r>
          </w:p>
          <w:p w14:paraId="0FFB084B">
            <w:pPr>
              <w:rPr>
                <w:rFonts w:hint="eastAsia" w:cs="宋体" w:asciiTheme="minorEastAsia" w:hAnsiTheme="minorEastAsia"/>
                <w:b/>
              </w:rPr>
            </w:pPr>
            <w:r>
              <w:rPr>
                <w:rFonts w:hint="eastAsia" w:cs="宋体" w:asciiTheme="minorEastAsia" w:hAnsiTheme="minorEastAsia"/>
              </w:rPr>
              <w:t>2</w:t>
            </w:r>
            <w:r>
              <w:rPr>
                <w:rFonts w:cs="宋体" w:asciiTheme="minorEastAsia" w:hAnsiTheme="minorEastAsia"/>
              </w:rPr>
              <w:t>.</w:t>
            </w:r>
            <w:r>
              <w:rPr>
                <w:rFonts w:hint="eastAsia" w:cs="宋体" w:asciiTheme="minorEastAsia" w:hAnsiTheme="minorEastAsia"/>
              </w:rPr>
              <w:t>送货至采购人指定地点，协助进行安装场地设计，完成安装和调试。所有安装应符合国家、行业相关标准及规范。</w:t>
            </w:r>
            <w:r>
              <w:rPr>
                <w:rFonts w:hint="eastAsia" w:cs="宋体" w:asciiTheme="minorEastAsia" w:hAnsiTheme="minorEastAsia"/>
                <w:b/>
              </w:rPr>
              <w:t>所有货物仅接受现场交付，不接受邮递。</w:t>
            </w:r>
          </w:p>
          <w:p w14:paraId="7EEA66C5">
            <w:pPr>
              <w:rPr>
                <w:rFonts w:hint="eastAsia" w:cs="宋体" w:asciiTheme="minorEastAsia" w:hAnsiTheme="minorEastAsia"/>
              </w:rPr>
            </w:pPr>
            <w:r>
              <w:rPr>
                <w:rFonts w:cs="宋体" w:asciiTheme="minorEastAsia" w:hAnsiTheme="minorEastAsia"/>
              </w:rPr>
              <w:t>3.为采购</w:t>
            </w:r>
            <w:r>
              <w:rPr>
                <w:rFonts w:hint="eastAsia" w:cs="宋体" w:asciiTheme="minorEastAsia" w:hAnsiTheme="minorEastAsia"/>
              </w:rPr>
              <w:t>人</w:t>
            </w:r>
            <w:r>
              <w:rPr>
                <w:rFonts w:cs="宋体" w:asciiTheme="minorEastAsia" w:hAnsiTheme="minorEastAsia"/>
              </w:rPr>
              <w:t>提供</w:t>
            </w:r>
            <w:r>
              <w:rPr>
                <w:rFonts w:hint="eastAsia" w:cs="宋体" w:asciiTheme="minorEastAsia" w:hAnsiTheme="minorEastAsia"/>
              </w:rPr>
              <w:t>产品</w:t>
            </w:r>
            <w:r>
              <w:rPr>
                <w:rFonts w:cs="宋体" w:asciiTheme="minorEastAsia" w:hAnsiTheme="minorEastAsia"/>
              </w:rPr>
              <w:t>操作</w:t>
            </w:r>
            <w:r>
              <w:rPr>
                <w:rFonts w:hint="eastAsia" w:cs="宋体" w:asciiTheme="minorEastAsia" w:hAnsiTheme="minorEastAsia"/>
              </w:rPr>
              <w:t>、维修、日常养护等方面的</w:t>
            </w:r>
            <w:r>
              <w:rPr>
                <w:rFonts w:cs="宋体" w:asciiTheme="minorEastAsia" w:hAnsiTheme="minorEastAsia"/>
              </w:rPr>
              <w:t>培训，确保</w:t>
            </w:r>
            <w:r>
              <w:rPr>
                <w:rFonts w:hint="eastAsia" w:cs="宋体" w:asciiTheme="minorEastAsia" w:hAnsiTheme="minorEastAsia"/>
              </w:rPr>
              <w:t>采购方使用人员</w:t>
            </w:r>
            <w:r>
              <w:rPr>
                <w:rFonts w:cs="宋体" w:asciiTheme="minorEastAsia" w:hAnsiTheme="minorEastAsia"/>
              </w:rPr>
              <w:t>能独立操作使用</w:t>
            </w:r>
            <w:r>
              <w:rPr>
                <w:rFonts w:hint="eastAsia" w:cs="宋体" w:asciiTheme="minorEastAsia" w:hAnsiTheme="minorEastAsia"/>
              </w:rPr>
              <w:t>，</w:t>
            </w:r>
            <w:r>
              <w:rPr>
                <w:rFonts w:cs="宋体" w:asciiTheme="minorEastAsia" w:hAnsiTheme="minorEastAsia"/>
              </w:rPr>
              <w:t>培训人数</w:t>
            </w:r>
            <w:r>
              <w:rPr>
                <w:rFonts w:hint="eastAsia" w:cs="宋体" w:asciiTheme="minorEastAsia" w:hAnsiTheme="minorEastAsia"/>
              </w:rPr>
              <w:t>、时间、地点等</w:t>
            </w:r>
            <w:r>
              <w:rPr>
                <w:rFonts w:cs="宋体" w:asciiTheme="minorEastAsia" w:hAnsiTheme="minorEastAsia"/>
              </w:rPr>
              <w:t>由采购</w:t>
            </w:r>
            <w:r>
              <w:rPr>
                <w:rFonts w:hint="eastAsia" w:cs="宋体" w:asciiTheme="minorEastAsia" w:hAnsiTheme="minorEastAsia"/>
              </w:rPr>
              <w:t>人指定</w:t>
            </w:r>
            <w:r>
              <w:rPr>
                <w:rFonts w:cs="宋体" w:asciiTheme="minorEastAsia" w:hAnsiTheme="minorEastAsia"/>
              </w:rPr>
              <w:t>。</w:t>
            </w:r>
          </w:p>
          <w:p w14:paraId="3DD10904">
            <w:pPr>
              <w:rPr>
                <w:rFonts w:hint="eastAsia" w:cs="宋体" w:asciiTheme="minorEastAsia" w:hAnsiTheme="minorEastAsia"/>
              </w:rPr>
            </w:pPr>
            <w:r>
              <w:rPr>
                <w:rFonts w:cs="宋体" w:asciiTheme="minorEastAsia" w:hAnsiTheme="minorEastAsia"/>
              </w:rPr>
              <w:t>4.故障响应时间：在使用过程中</w:t>
            </w:r>
            <w:r>
              <w:rPr>
                <w:rFonts w:hint="eastAsia" w:cs="宋体" w:asciiTheme="minorEastAsia" w:hAnsiTheme="minorEastAsia"/>
              </w:rPr>
              <w:t>出现</w:t>
            </w:r>
            <w:r>
              <w:rPr>
                <w:rFonts w:cs="宋体" w:asciiTheme="minorEastAsia" w:hAnsiTheme="minorEastAsia"/>
              </w:rPr>
              <w:t>质量问题，</w:t>
            </w:r>
            <w:r>
              <w:rPr>
                <w:rFonts w:hint="eastAsia" w:cs="宋体" w:asciiTheme="minorEastAsia" w:hAnsiTheme="minorEastAsia"/>
              </w:rPr>
              <w:t>成交人</w:t>
            </w:r>
            <w:r>
              <w:rPr>
                <w:rFonts w:cs="宋体" w:asciiTheme="minorEastAsia" w:hAnsiTheme="minorEastAsia"/>
              </w:rPr>
              <w:t>在接到</w:t>
            </w:r>
            <w:r>
              <w:rPr>
                <w:rFonts w:hint="eastAsia" w:cs="宋体" w:asciiTheme="minorEastAsia" w:hAnsiTheme="minorEastAsia"/>
              </w:rPr>
              <w:t>采购人</w:t>
            </w:r>
            <w:r>
              <w:rPr>
                <w:rFonts w:cs="宋体" w:asciiTheme="minorEastAsia" w:hAnsiTheme="minorEastAsia"/>
              </w:rPr>
              <w:t>通知后1小时</w:t>
            </w:r>
            <w:r>
              <w:rPr>
                <w:rFonts w:hint="eastAsia" w:cs="宋体" w:asciiTheme="minorEastAsia" w:hAnsiTheme="minorEastAsia"/>
              </w:rPr>
              <w:t>作出</w:t>
            </w:r>
            <w:r>
              <w:rPr>
                <w:rFonts w:cs="宋体" w:asciiTheme="minorEastAsia" w:hAnsiTheme="minorEastAsia"/>
              </w:rPr>
              <w:t>响应</w:t>
            </w:r>
            <w:r>
              <w:rPr>
                <w:rFonts w:hint="eastAsia" w:cs="宋体" w:asciiTheme="minorEastAsia" w:hAnsiTheme="minorEastAsia"/>
              </w:rPr>
              <w:t>；如需到达现场解决的，在4</w:t>
            </w:r>
            <w:r>
              <w:rPr>
                <w:rFonts w:cs="宋体" w:asciiTheme="minorEastAsia" w:hAnsiTheme="minorEastAsia"/>
              </w:rPr>
              <w:t>小时内</w:t>
            </w:r>
            <w:r>
              <w:rPr>
                <w:rFonts w:hint="eastAsia" w:cs="宋体" w:asciiTheme="minorEastAsia" w:hAnsiTheme="minorEastAsia"/>
              </w:rPr>
              <w:t>应</w:t>
            </w:r>
            <w:r>
              <w:rPr>
                <w:rFonts w:cs="宋体" w:asciiTheme="minorEastAsia" w:hAnsiTheme="minorEastAsia"/>
              </w:rPr>
              <w:t>到达现场。</w:t>
            </w:r>
          </w:p>
          <w:p w14:paraId="3853A5EE">
            <w:pPr>
              <w:rPr>
                <w:rFonts w:hint="eastAsia" w:asciiTheme="minorEastAsia" w:hAnsiTheme="minorEastAsia"/>
              </w:rPr>
            </w:pPr>
            <w:r>
              <w:rPr>
                <w:rFonts w:cs="宋体" w:asciiTheme="minorEastAsia" w:hAnsiTheme="minorEastAsia"/>
              </w:rPr>
              <w:t>5.</w:t>
            </w:r>
            <w:r>
              <w:rPr>
                <w:rFonts w:hint="eastAsia" w:cs="宋体" w:asciiTheme="minorEastAsia" w:hAnsiTheme="minorEastAsia"/>
              </w:rPr>
              <w:t>成交人须遵守校园出入规定，在供货、安装过程中确保相关人员安全。</w:t>
            </w:r>
            <w:r>
              <w:rPr>
                <w:rFonts w:cs="宋体" w:asciiTheme="minorEastAsia" w:hAnsiTheme="minorEastAsia"/>
              </w:rPr>
              <w:t>供货</w:t>
            </w:r>
            <w:r>
              <w:rPr>
                <w:rFonts w:hint="eastAsia" w:cs="宋体" w:asciiTheme="minorEastAsia" w:hAnsiTheme="minorEastAsia"/>
              </w:rPr>
              <w:t>、</w:t>
            </w:r>
            <w:r>
              <w:rPr>
                <w:rFonts w:cs="宋体" w:asciiTheme="minorEastAsia" w:hAnsiTheme="minorEastAsia"/>
              </w:rPr>
              <w:t>安装过程中产生的残留物或垃圾，</w:t>
            </w:r>
            <w:r>
              <w:rPr>
                <w:rFonts w:hint="eastAsia" w:cs="宋体" w:asciiTheme="minorEastAsia" w:hAnsiTheme="minorEastAsia"/>
              </w:rPr>
              <w:t>成交人需</w:t>
            </w:r>
            <w:r>
              <w:rPr>
                <w:rFonts w:cs="宋体" w:asciiTheme="minorEastAsia" w:hAnsiTheme="minorEastAsia"/>
              </w:rPr>
              <w:t>自行清理至校外。</w:t>
            </w:r>
          </w:p>
        </w:tc>
      </w:tr>
      <w:tr w14:paraId="54601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trPr>
        <w:tc>
          <w:tcPr>
            <w:tcW w:w="389" w:type="pct"/>
            <w:gridSpan w:val="2"/>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21B7F22E">
            <w:pPr>
              <w:widowControl/>
              <w:jc w:val="left"/>
              <w:textAlignment w:val="center"/>
              <w:rPr>
                <w:rFonts w:hint="eastAsia" w:ascii="宋体" w:hAnsi="宋体"/>
                <w:b/>
                <w:bCs/>
                <w:szCs w:val="21"/>
              </w:rPr>
            </w:pPr>
            <w:r>
              <w:rPr>
                <w:rFonts w:hint="eastAsia" w:cs="宋体" w:asciiTheme="minorEastAsia" w:hAnsiTheme="minorEastAsia"/>
                <w:b/>
                <w:bCs/>
              </w:rPr>
              <w:t>交付时间</w:t>
            </w:r>
          </w:p>
        </w:tc>
        <w:tc>
          <w:tcPr>
            <w:tcW w:w="4611" w:type="pct"/>
            <w:gridSpan w:val="6"/>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02C09DDD">
            <w:pPr>
              <w:rPr>
                <w:rFonts w:hint="eastAsia" w:ascii="宋体" w:hAnsi="宋体" w:cs="宋体"/>
                <w:spacing w:val="-2"/>
              </w:rPr>
            </w:pPr>
            <w:r>
              <w:rPr>
                <w:rFonts w:ascii="宋体" w:hAnsi="宋体" w:cs="宋体"/>
                <w:spacing w:val="-2"/>
              </w:rPr>
              <w:t>1.交</w:t>
            </w:r>
            <w:r>
              <w:rPr>
                <w:rFonts w:hint="eastAsia" w:ascii="宋体" w:hAnsi="宋体" w:cs="宋体"/>
                <w:spacing w:val="-2"/>
              </w:rPr>
              <w:t>付</w:t>
            </w:r>
            <w:r>
              <w:rPr>
                <w:rFonts w:ascii="宋体" w:hAnsi="宋体" w:cs="宋体"/>
                <w:spacing w:val="-2"/>
              </w:rPr>
              <w:t>时间：自签订合同之日起</w:t>
            </w:r>
            <w:r>
              <w:rPr>
                <w:rFonts w:ascii="宋体" w:hAnsi="宋体" w:cs="宋体"/>
                <w:b/>
                <w:spacing w:val="-2"/>
                <w:u w:val="single"/>
              </w:rPr>
              <w:t xml:space="preserve"> </w:t>
            </w:r>
            <w:r>
              <w:rPr>
                <w:rFonts w:hint="eastAsia" w:ascii="宋体" w:hAnsi="宋体" w:cs="宋体"/>
                <w:b/>
                <w:spacing w:val="-2"/>
                <w:u w:val="single"/>
              </w:rPr>
              <w:t>3</w:t>
            </w:r>
            <w:r>
              <w:rPr>
                <w:rFonts w:ascii="宋体" w:hAnsi="宋体" w:cs="宋体"/>
                <w:b/>
                <w:spacing w:val="-2"/>
                <w:u w:val="single"/>
              </w:rPr>
              <w:t xml:space="preserve">0 </w:t>
            </w:r>
            <w:r>
              <w:rPr>
                <w:rFonts w:hint="eastAsia" w:ascii="宋体" w:hAnsi="宋体" w:cs="宋体"/>
                <w:b/>
                <w:spacing w:val="-2"/>
              </w:rPr>
              <w:t>日历日</w:t>
            </w:r>
            <w:r>
              <w:rPr>
                <w:rFonts w:hint="eastAsia" w:ascii="宋体" w:hAnsi="宋体" w:cs="宋体"/>
                <w:spacing w:val="-2"/>
              </w:rPr>
              <w:t>内全部交付完成并验收合格。</w:t>
            </w:r>
          </w:p>
          <w:p w14:paraId="2FF28292">
            <w:pPr>
              <w:rPr>
                <w:rFonts w:hint="eastAsia" w:ascii="宋体" w:hAnsi="宋体" w:cs="宋体"/>
              </w:rPr>
            </w:pPr>
            <w:r>
              <w:rPr>
                <w:rFonts w:ascii="宋体" w:hAnsi="宋体" w:cs="宋体"/>
              </w:rPr>
              <w:t>2.交</w:t>
            </w:r>
            <w:r>
              <w:rPr>
                <w:rFonts w:hint="eastAsia" w:ascii="宋体" w:hAnsi="宋体" w:cs="宋体"/>
              </w:rPr>
              <w:t>付</w:t>
            </w:r>
            <w:r>
              <w:rPr>
                <w:rFonts w:ascii="宋体" w:hAnsi="宋体" w:cs="宋体"/>
              </w:rPr>
              <w:t>地点：广西</w:t>
            </w:r>
            <w:r>
              <w:rPr>
                <w:rFonts w:hint="eastAsia" w:ascii="宋体" w:hAnsi="宋体" w:cs="宋体"/>
              </w:rPr>
              <w:t>中医药大学</w:t>
            </w:r>
            <w:r>
              <w:rPr>
                <w:rFonts w:ascii="宋体" w:hAnsi="宋体" w:cs="宋体"/>
              </w:rPr>
              <w:t>。</w:t>
            </w:r>
          </w:p>
          <w:p w14:paraId="36E79116">
            <w:pPr>
              <w:rPr>
                <w:rFonts w:hint="eastAsia" w:ascii="宋体" w:hAnsi="宋体"/>
                <w:b/>
                <w:bCs/>
                <w:szCs w:val="21"/>
              </w:rPr>
            </w:pPr>
            <w:r>
              <w:rPr>
                <w:rFonts w:hint="eastAsia" w:asciiTheme="minorEastAsia" w:hAnsiTheme="minorEastAsia"/>
              </w:rPr>
              <w:t>（填写供方可承诺的</w:t>
            </w:r>
            <w:r>
              <w:rPr>
                <w:rFonts w:hint="eastAsia" w:asciiTheme="minorEastAsia" w:hAnsiTheme="minorEastAsia"/>
                <w:b/>
              </w:rPr>
              <w:t>最短</w:t>
            </w:r>
            <w:r>
              <w:rPr>
                <w:rFonts w:hint="eastAsia" w:asciiTheme="minorEastAsia" w:hAnsiTheme="minorEastAsia"/>
              </w:rPr>
              <w:t>交付期）</w:t>
            </w:r>
          </w:p>
        </w:tc>
      </w:tr>
      <w:tr w14:paraId="1DD30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trPr>
        <w:tc>
          <w:tcPr>
            <w:tcW w:w="5000" w:type="pct"/>
            <w:gridSpan w:val="8"/>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2D47E4A9">
            <w:pPr>
              <w:snapToGrid w:val="0"/>
              <w:jc w:val="left"/>
              <w:rPr>
                <w:rFonts w:hint="eastAsia" w:ascii="宋体" w:hAnsi="宋体"/>
                <w:b/>
                <w:bCs/>
                <w:szCs w:val="21"/>
              </w:rPr>
            </w:pPr>
            <w:r>
              <w:rPr>
                <w:rFonts w:hint="eastAsia" w:ascii="宋体" w:hAnsi="宋体"/>
                <w:b/>
                <w:bCs/>
                <w:szCs w:val="21"/>
              </w:rPr>
              <w:t>三、其它</w:t>
            </w:r>
          </w:p>
        </w:tc>
      </w:tr>
      <w:tr w14:paraId="7D34F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trPr>
        <w:tc>
          <w:tcPr>
            <w:tcW w:w="5000" w:type="pct"/>
            <w:gridSpan w:val="8"/>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381A187F">
            <w:pPr>
              <w:snapToGrid w:val="0"/>
              <w:jc w:val="left"/>
              <w:rPr>
                <w:rFonts w:hint="eastAsia" w:ascii="宋体" w:hAnsi="宋体"/>
                <w:b/>
                <w:bCs/>
                <w:szCs w:val="21"/>
              </w:rPr>
            </w:pPr>
            <w:r>
              <w:rPr>
                <w:rFonts w:hint="eastAsia" w:ascii="宋体" w:hAnsi="宋体"/>
                <w:b/>
                <w:bCs/>
                <w:szCs w:val="21"/>
              </w:rPr>
              <w:t>对上述内容进行补充</w:t>
            </w:r>
          </w:p>
        </w:tc>
      </w:tr>
    </w:tbl>
    <w:p w14:paraId="2ED1E6B5">
      <w:pPr>
        <w:rPr>
          <w:rFonts w:hint="eastAsia" w:ascii="宋体" w:hAnsi="宋体" w:cs="仿宋"/>
          <w:bCs/>
        </w:rPr>
      </w:pPr>
      <w:r>
        <w:rPr>
          <w:rFonts w:hint="eastAsia" w:ascii="宋体" w:hAnsi="宋体" w:cs="仿宋"/>
          <w:sz w:val="18"/>
        </w:rPr>
        <w:t>注：所有价格均用人民币表示，单位为元，精确到小数点后两位。</w:t>
      </w:r>
    </w:p>
    <w:p w14:paraId="2BB64B4A">
      <w:pPr>
        <w:spacing w:line="460" w:lineRule="exact"/>
        <w:rPr>
          <w:rFonts w:hint="eastAsia" w:ascii="宋体" w:hAnsi="宋体" w:cs="仿宋"/>
          <w:bCs/>
        </w:rPr>
      </w:pPr>
    </w:p>
    <w:p w14:paraId="7E989CBC">
      <w:pPr>
        <w:spacing w:line="360" w:lineRule="auto"/>
        <w:ind w:left="10" w:leftChars="5" w:firstLine="554" w:firstLineChars="198"/>
        <w:rPr>
          <w:rFonts w:hint="eastAsia" w:ascii="宋体" w:hAnsi="宋体" w:cs="宋体"/>
          <w:sz w:val="28"/>
          <w:szCs w:val="28"/>
        </w:rPr>
      </w:pPr>
      <w:r>
        <w:rPr>
          <w:rFonts w:hint="eastAsia" w:ascii="宋体" w:hAnsi="宋体" w:cs="宋体"/>
          <w:sz w:val="28"/>
          <w:szCs w:val="28"/>
        </w:rPr>
        <w:t>供应商全称：</w:t>
      </w:r>
      <w:r>
        <w:rPr>
          <w:rFonts w:hint="eastAsia" w:ascii="宋体" w:hAnsi="宋体" w:cs="宋体"/>
          <w:sz w:val="28"/>
          <w:szCs w:val="28"/>
          <w:u w:val="single"/>
        </w:rPr>
        <w:t xml:space="preserve">                         </w:t>
      </w:r>
      <w:r>
        <w:rPr>
          <w:rFonts w:hint="eastAsia" w:ascii="宋体" w:hAnsi="宋体" w:cs="宋体"/>
          <w:sz w:val="28"/>
          <w:szCs w:val="28"/>
        </w:rPr>
        <w:t>（公章）</w:t>
      </w:r>
    </w:p>
    <w:p w14:paraId="33E4AB77">
      <w:pPr>
        <w:spacing w:line="360" w:lineRule="auto"/>
        <w:ind w:left="10" w:leftChars="5" w:firstLine="554" w:firstLineChars="198"/>
        <w:rPr>
          <w:rFonts w:hint="eastAsia" w:ascii="宋体" w:hAnsi="宋体" w:cs="宋体"/>
          <w:sz w:val="28"/>
          <w:szCs w:val="28"/>
        </w:rPr>
      </w:pPr>
      <w:r>
        <w:rPr>
          <w:rFonts w:hint="eastAsia" w:ascii="宋体" w:hAnsi="宋体" w:cs="宋体"/>
          <w:sz w:val="28"/>
          <w:szCs w:val="28"/>
        </w:rPr>
        <w:t>法定代表人或委托代理人：</w:t>
      </w:r>
      <w:r>
        <w:rPr>
          <w:rFonts w:hint="eastAsia" w:ascii="宋体" w:hAnsi="宋体" w:cs="宋体"/>
          <w:sz w:val="28"/>
          <w:szCs w:val="28"/>
          <w:u w:val="single"/>
        </w:rPr>
        <w:t xml:space="preserve">             </w:t>
      </w:r>
      <w:r>
        <w:rPr>
          <w:rFonts w:hint="eastAsia" w:ascii="宋体" w:hAnsi="宋体" w:cs="宋体"/>
          <w:sz w:val="28"/>
          <w:szCs w:val="28"/>
        </w:rPr>
        <w:t>（签字或签章）</w:t>
      </w:r>
    </w:p>
    <w:p w14:paraId="74BA2A03">
      <w:pPr>
        <w:spacing w:line="360" w:lineRule="auto"/>
        <w:ind w:left="10" w:leftChars="5" w:firstLine="554" w:firstLineChars="198"/>
        <w:rPr>
          <w:rFonts w:hint="eastAsia" w:ascii="宋体" w:hAnsi="宋体" w:cs="宋体"/>
          <w:sz w:val="28"/>
          <w:szCs w:val="28"/>
        </w:rPr>
      </w:pPr>
      <w:r>
        <w:rPr>
          <w:rFonts w:hint="eastAsia" w:ascii="宋体" w:hAnsi="宋体" w:cs="宋体"/>
          <w:sz w:val="28"/>
          <w:szCs w:val="28"/>
        </w:rPr>
        <w:t>供应商地址：</w:t>
      </w:r>
      <w:r>
        <w:rPr>
          <w:rFonts w:hint="eastAsia" w:ascii="宋体" w:hAnsi="宋体" w:cs="宋体"/>
          <w:sz w:val="28"/>
          <w:szCs w:val="28"/>
          <w:u w:val="single"/>
        </w:rPr>
        <w:tab/>
      </w:r>
      <w:r>
        <w:rPr>
          <w:rFonts w:hint="eastAsia" w:ascii="宋体" w:hAnsi="宋体" w:cs="宋体"/>
          <w:sz w:val="28"/>
          <w:szCs w:val="28"/>
          <w:u w:val="single"/>
        </w:rPr>
        <w:t xml:space="preserve">   </w:t>
      </w:r>
      <w:r>
        <w:rPr>
          <w:rFonts w:ascii="宋体" w:hAnsi="宋体" w:cs="宋体"/>
          <w:sz w:val="28"/>
          <w:szCs w:val="28"/>
          <w:u w:val="single"/>
        </w:rPr>
        <w:t xml:space="preserve">                    </w:t>
      </w:r>
    </w:p>
    <w:p w14:paraId="3149B895">
      <w:pPr>
        <w:spacing w:line="360" w:lineRule="auto"/>
        <w:ind w:left="10" w:leftChars="5" w:firstLine="554" w:firstLineChars="198"/>
        <w:rPr>
          <w:rFonts w:hint="eastAsia" w:ascii="宋体" w:hAnsi="宋体" w:cs="宋体"/>
          <w:sz w:val="28"/>
          <w:szCs w:val="28"/>
        </w:rPr>
      </w:pPr>
      <w:r>
        <w:rPr>
          <w:rFonts w:hint="eastAsia" w:ascii="宋体" w:hAnsi="宋体" w:cs="宋体"/>
          <w:sz w:val="28"/>
          <w:szCs w:val="28"/>
        </w:rPr>
        <w:t>供应商联系方式：</w:t>
      </w:r>
      <w:r>
        <w:rPr>
          <w:rFonts w:ascii="宋体" w:hAnsi="宋体" w:cs="宋体"/>
          <w:sz w:val="28"/>
          <w:szCs w:val="28"/>
          <w:u w:val="single"/>
        </w:rPr>
        <w:t xml:space="preserve">     </w:t>
      </w:r>
      <w:r>
        <w:rPr>
          <w:rFonts w:hint="eastAsia" w:ascii="宋体" w:hAnsi="宋体" w:cs="宋体"/>
          <w:sz w:val="28"/>
          <w:szCs w:val="28"/>
          <w:u w:val="single"/>
        </w:rPr>
        <w:t xml:space="preserve">                </w:t>
      </w:r>
      <w:r>
        <w:rPr>
          <w:rFonts w:ascii="宋体" w:hAnsi="宋体" w:cs="宋体"/>
          <w:sz w:val="28"/>
          <w:szCs w:val="28"/>
          <w:u w:val="single"/>
        </w:rPr>
        <w:t xml:space="preserve"> </w:t>
      </w:r>
      <w:r>
        <w:rPr>
          <w:rFonts w:hint="eastAsia" w:ascii="宋体" w:hAnsi="宋体" w:cs="宋体"/>
          <w:sz w:val="28"/>
          <w:szCs w:val="28"/>
        </w:rPr>
        <w:t>（联系人、联系电话）</w:t>
      </w:r>
    </w:p>
    <w:p w14:paraId="4D18C113">
      <w:pPr>
        <w:spacing w:line="360" w:lineRule="auto"/>
        <w:rPr>
          <w:rFonts w:hint="eastAsia" w:ascii="宋体" w:hAnsi="宋体" w:cs="宋体"/>
          <w:sz w:val="28"/>
          <w:szCs w:val="28"/>
        </w:rPr>
      </w:pPr>
    </w:p>
    <w:p w14:paraId="1197BF2B">
      <w:pPr>
        <w:widowControl/>
        <w:spacing w:line="360" w:lineRule="auto"/>
        <w:jc w:val="center"/>
      </w:pPr>
      <w:r>
        <w:rPr>
          <w:rFonts w:hint="eastAsia" w:ascii="宋体" w:hAnsi="宋体" w:cs="宋体"/>
          <w:sz w:val="28"/>
          <w:szCs w:val="28"/>
        </w:rPr>
        <w:t>日期：</w:t>
      </w:r>
      <w:r>
        <w:rPr>
          <w:rFonts w:hint="eastAsia" w:ascii="宋体" w:hAnsi="宋体" w:cs="宋体"/>
          <w:sz w:val="28"/>
          <w:szCs w:val="28"/>
          <w:u w:val="single"/>
        </w:rPr>
        <w:t xml:space="preserve">     </w:t>
      </w:r>
      <w:r>
        <w:rPr>
          <w:rFonts w:hint="eastAsia" w:ascii="宋体" w:hAnsi="宋体" w:cs="宋体"/>
          <w:sz w:val="28"/>
          <w:szCs w:val="28"/>
        </w:rPr>
        <w:t>年</w:t>
      </w:r>
      <w:r>
        <w:rPr>
          <w:rFonts w:hint="eastAsia" w:ascii="宋体" w:hAnsi="宋体" w:cs="宋体"/>
          <w:sz w:val="28"/>
          <w:szCs w:val="28"/>
          <w:u w:val="single"/>
        </w:rPr>
        <w:t xml:space="preserve">    </w:t>
      </w:r>
      <w:r>
        <w:rPr>
          <w:rFonts w:hint="eastAsia" w:ascii="宋体" w:hAnsi="宋体" w:cs="宋体"/>
          <w:sz w:val="28"/>
          <w:szCs w:val="28"/>
        </w:rPr>
        <w:t>月</w:t>
      </w:r>
      <w:r>
        <w:rPr>
          <w:rFonts w:hint="eastAsia" w:ascii="宋体" w:hAnsi="宋体" w:cs="宋体"/>
          <w:sz w:val="28"/>
          <w:szCs w:val="28"/>
          <w:u w:val="single"/>
        </w:rPr>
        <w:t xml:space="preserve">    </w:t>
      </w:r>
      <w:r>
        <w:rPr>
          <w:rFonts w:hint="eastAsia" w:ascii="宋体" w:hAnsi="宋体" w:cs="宋体"/>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1" w:fontKey="{6257B807-7409-4183-B935-5484DC2DB10A}"/>
  </w:font>
  <w:font w:name="仿宋">
    <w:panose1 w:val="02010609060101010101"/>
    <w:charset w:val="86"/>
    <w:family w:val="modern"/>
    <w:pitch w:val="default"/>
    <w:sig w:usb0="800002BF" w:usb1="38CF7CFA" w:usb2="00000016" w:usb3="00000000" w:csb0="00040001" w:csb1="00000000"/>
    <w:embedRegular r:id="rId2" w:fontKey="{D0AE701C-A02C-45C8-B34C-7F3DAEBDCAE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D65498"/>
    <w:rsid w:val="0000508E"/>
    <w:rsid w:val="00053C85"/>
    <w:rsid w:val="0005513E"/>
    <w:rsid w:val="00056F86"/>
    <w:rsid w:val="000812B4"/>
    <w:rsid w:val="000B7DF2"/>
    <w:rsid w:val="000C1B5B"/>
    <w:rsid w:val="000D3AA8"/>
    <w:rsid w:val="000E681C"/>
    <w:rsid w:val="001D2078"/>
    <w:rsid w:val="002C1A3A"/>
    <w:rsid w:val="002D6B20"/>
    <w:rsid w:val="003220E4"/>
    <w:rsid w:val="00353435"/>
    <w:rsid w:val="0036104C"/>
    <w:rsid w:val="003777BA"/>
    <w:rsid w:val="00401867"/>
    <w:rsid w:val="00484744"/>
    <w:rsid w:val="004B35CF"/>
    <w:rsid w:val="00514D9F"/>
    <w:rsid w:val="00580745"/>
    <w:rsid w:val="005855E6"/>
    <w:rsid w:val="005D5DD5"/>
    <w:rsid w:val="006974D4"/>
    <w:rsid w:val="00796D72"/>
    <w:rsid w:val="00800C86"/>
    <w:rsid w:val="00834509"/>
    <w:rsid w:val="0090361F"/>
    <w:rsid w:val="009369C1"/>
    <w:rsid w:val="0098024C"/>
    <w:rsid w:val="00980715"/>
    <w:rsid w:val="009B0EA0"/>
    <w:rsid w:val="009B42CF"/>
    <w:rsid w:val="009D5CEB"/>
    <w:rsid w:val="009E1A0D"/>
    <w:rsid w:val="00A06761"/>
    <w:rsid w:val="00A66E4A"/>
    <w:rsid w:val="00AF0B91"/>
    <w:rsid w:val="00B70F0C"/>
    <w:rsid w:val="00B764EF"/>
    <w:rsid w:val="00BB14B2"/>
    <w:rsid w:val="00D10D61"/>
    <w:rsid w:val="00D33972"/>
    <w:rsid w:val="00D97813"/>
    <w:rsid w:val="00E657BB"/>
    <w:rsid w:val="00EA32DD"/>
    <w:rsid w:val="00EE193A"/>
    <w:rsid w:val="00F335C1"/>
    <w:rsid w:val="00F64976"/>
    <w:rsid w:val="00FB6A21"/>
    <w:rsid w:val="01336206"/>
    <w:rsid w:val="083A0C0C"/>
    <w:rsid w:val="09A1725A"/>
    <w:rsid w:val="18EC78F1"/>
    <w:rsid w:val="1AAB6848"/>
    <w:rsid w:val="23B549EA"/>
    <w:rsid w:val="25D65498"/>
    <w:rsid w:val="25F60DA0"/>
    <w:rsid w:val="294468A4"/>
    <w:rsid w:val="2D770007"/>
    <w:rsid w:val="3BC4465B"/>
    <w:rsid w:val="4C1B3482"/>
    <w:rsid w:val="503A2557"/>
    <w:rsid w:val="61DD7159"/>
    <w:rsid w:val="66A840EC"/>
    <w:rsid w:val="6FE139C0"/>
    <w:rsid w:val="724E1555"/>
    <w:rsid w:val="730409E5"/>
    <w:rsid w:val="7312459B"/>
    <w:rsid w:val="7970564B"/>
    <w:rsid w:val="79D5604D"/>
    <w:rsid w:val="7EFD7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link w:val="9"/>
    <w:qFormat/>
    <w:uiPriority w:val="0"/>
    <w:pP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styleId="8">
    <w:name w:val="Emphasis"/>
    <w:basedOn w:val="6"/>
    <w:qFormat/>
    <w:uiPriority w:val="0"/>
    <w:rPr>
      <w:i/>
    </w:rPr>
  </w:style>
  <w:style w:type="character" w:customStyle="1" w:styleId="9">
    <w:name w:val="页眉 字符"/>
    <w:basedOn w:val="6"/>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491</Words>
  <Characters>540</Characters>
  <Lines>28</Lines>
  <Paragraphs>7</Paragraphs>
  <TotalTime>37</TotalTime>
  <ScaleCrop>false</ScaleCrop>
  <LinksUpToDate>false</LinksUpToDate>
  <CharactersWithSpaces>559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2025-06-13T09:20:00Z</dcterms:created>
  <dc:creator>文军</dc:creator>
  <cp:lastModifiedBy>观光休闲</cp:lastModifiedBy>
  <cp:lastPrinted>2025-06-17T07:33:00Z</cp:lastPrinted>
  <dcterms:modified xsi:type="dcterms:W3CDTF">2026-10-15T03:44:00Z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D248F11FD25F4C20ADA9579DEBFF7FDA_13</vt:lpwstr>
  </property>
  <property fmtid="{D5CDD505-2E9C-101B-9397-08002B2CF9AE}" pid="4" name="KSOTemplateDocerSaveRecord">
    <vt:lpwstr>eyJoZGlkIjoiYzk1NmEyYzkzNDllOWE2ZWE3YzQ2NGJiOGNjOTQyMTkiLCJ1c2VySWQiOiI0MDU1MjY4MTUifQ==</vt:lpwstr>
  </property>
</Properties>
</file>