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8E6A8">
      <w:pPr>
        <w:keepNext w:val="0"/>
        <w:keepLines w:val="0"/>
        <w:widowControl/>
        <w:suppressLineNumbers w:val="0"/>
        <w:spacing w:after="75" w:afterAutospacing="0"/>
        <w:ind w:left="0" w:firstLine="0"/>
        <w:jc w:val="center"/>
        <w:rPr>
          <w:rFonts w:ascii="微软雅黑" w:hAnsi="微软雅黑" w:eastAsia="微软雅黑" w:cs="微软雅黑"/>
          <w:b/>
          <w:bCs/>
          <w:i w:val="0"/>
          <w:iCs w:val="0"/>
          <w:caps w:val="0"/>
          <w:color w:val="000000" w:themeColor="text1"/>
          <w:spacing w:val="0"/>
          <w:sz w:val="36"/>
          <w:szCs w:val="36"/>
          <w14:textFill>
            <w14:solidFill>
              <w14:schemeClr w14:val="tx1"/>
            </w14:solidFill>
          </w14:textFill>
        </w:rPr>
      </w:pPr>
      <w:r>
        <w:rPr>
          <w:rFonts w:hint="eastAsia" w:ascii="微软雅黑" w:hAnsi="微软雅黑" w:eastAsia="微软雅黑" w:cs="微软雅黑"/>
          <w:b/>
          <w:bCs/>
          <w:i w:val="0"/>
          <w:iCs w:val="0"/>
          <w:caps w:val="0"/>
          <w:color w:val="000000" w:themeColor="text1"/>
          <w:spacing w:val="0"/>
          <w:kern w:val="0"/>
          <w:sz w:val="36"/>
          <w:szCs w:val="36"/>
          <w:lang w:val="en-US" w:eastAsia="zh-CN" w:bidi="ar"/>
          <w14:textFill>
            <w14:solidFill>
              <w14:schemeClr w14:val="tx1"/>
            </w14:solidFill>
          </w14:textFill>
        </w:rPr>
        <w:t>广西中医药大学2026年中西医基础医学实验教学中心实验室设备采购项目需求征集公告</w:t>
      </w:r>
    </w:p>
    <w:p w14:paraId="10FA0F39">
      <w:pPr>
        <w:widowControl/>
        <w:spacing w:line="440" w:lineRule="exact"/>
        <w:jc w:val="left"/>
        <w:rPr>
          <w:rFonts w:hint="eastAsia" w:ascii="黑体" w:hAnsi="黑体" w:eastAsia="黑体" w:cs="宋体"/>
          <w:bCs/>
          <w:color w:val="000000" w:themeColor="text1"/>
          <w:sz w:val="32"/>
          <w:szCs w:val="32"/>
          <w14:textFill>
            <w14:solidFill>
              <w14:schemeClr w14:val="tx1"/>
            </w14:solidFill>
          </w14:textFill>
        </w:rPr>
      </w:pPr>
      <w:bookmarkStart w:id="0" w:name="_GoBack"/>
      <w:bookmarkEnd w:id="0"/>
      <w:r>
        <w:rPr>
          <w:rStyle w:val="6"/>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t>     </w:t>
      </w:r>
      <w:r>
        <w:rPr>
          <w:rFonts w:hint="eastAsia" w:ascii="黑体" w:hAnsi="黑体" w:eastAsia="黑体" w:cs="宋体"/>
          <w:bCs/>
          <w:color w:val="000000" w:themeColor="text1"/>
          <w:sz w:val="32"/>
          <w:szCs w:val="32"/>
          <w14:textFill>
            <w14:solidFill>
              <w14:schemeClr w14:val="tx1"/>
            </w14:solidFill>
          </w14:textFill>
        </w:rPr>
        <w:t>附件</w:t>
      </w:r>
    </w:p>
    <w:tbl>
      <w:tblPr>
        <w:tblStyle w:val="4"/>
        <w:tblW w:w="9375" w:type="dxa"/>
        <w:tblInd w:w="-1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825"/>
        <w:gridCol w:w="1530"/>
        <w:gridCol w:w="3270"/>
        <w:gridCol w:w="705"/>
        <w:gridCol w:w="660"/>
        <w:gridCol w:w="722"/>
        <w:gridCol w:w="1093"/>
      </w:tblGrid>
      <w:tr w14:paraId="7A71B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3" w:hRule="atLeast"/>
        </w:trPr>
        <w:tc>
          <w:tcPr>
            <w:tcW w:w="9375" w:type="dxa"/>
            <w:gridSpan w:val="8"/>
            <w:tcBorders>
              <w:top w:val="single" w:color="auto" w:sz="4" w:space="0"/>
              <w:left w:val="single" w:color="auto" w:sz="4" w:space="0"/>
              <w:bottom w:val="single" w:color="auto" w:sz="4" w:space="0"/>
              <w:right w:val="single" w:color="auto" w:sz="4" w:space="0"/>
            </w:tcBorders>
            <w:shd w:val="clear" w:color="auto" w:fill="auto"/>
            <w:vAlign w:val="top"/>
          </w:tcPr>
          <w:p w14:paraId="5FAD8F1C">
            <w:pPr>
              <w:jc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方正小标宋简体" w:hAnsi="方正小标宋简体" w:eastAsia="方正小标宋简体" w:cs="方正小标宋简体"/>
                <w:i w:val="0"/>
                <w:iCs w:val="0"/>
                <w:color w:val="000000" w:themeColor="text1"/>
                <w:kern w:val="0"/>
                <w:sz w:val="44"/>
                <w:szCs w:val="44"/>
                <w:u w:val="none"/>
                <w:lang w:val="en-US" w:eastAsia="zh-CN" w:bidi="ar"/>
                <w14:textFill>
                  <w14:solidFill>
                    <w14:schemeClr w14:val="tx1"/>
                  </w14:solidFill>
                </w14:textFill>
              </w:rPr>
              <w:t>需求征集明细表</w:t>
            </w:r>
          </w:p>
        </w:tc>
      </w:tr>
      <w:tr w14:paraId="2EABC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9375"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5AE1761B">
            <w:pPr>
              <w:keepNext w:val="0"/>
              <w:keepLines w:val="0"/>
              <w:widowControl/>
              <w:suppressLineNumbers w:val="0"/>
              <w:jc w:val="left"/>
              <w:textAlignment w:val="center"/>
              <w:rPr>
                <w:rFonts w:hint="eastAsia" w:ascii="宋体" w:hAnsi="宋体" w:eastAsia="宋体" w:cs="宋体"/>
                <w:b/>
                <w:bCs/>
                <w:i w:val="0"/>
                <w:iCs w:val="0"/>
                <w:color w:val="000000" w:themeColor="text1"/>
                <w:sz w:val="24"/>
                <w:szCs w:val="24"/>
                <w:u w:val="none"/>
                <w14:textFill>
                  <w14:solidFill>
                    <w14:schemeClr w14:val="tx1"/>
                  </w14:solidFill>
                </w14:textFill>
              </w:rPr>
            </w:pPr>
            <w:r>
              <w:rPr>
                <w:rFonts w:hint="eastAsia" w:ascii="宋体" w:hAnsi="宋体" w:eastAsia="宋体" w:cs="宋体"/>
                <w:b/>
                <w:bCs/>
                <w:i w:val="0"/>
                <w:iCs w:val="0"/>
                <w:color w:val="000000" w:themeColor="text1"/>
                <w:kern w:val="0"/>
                <w:sz w:val="24"/>
                <w:szCs w:val="24"/>
                <w:u w:val="none"/>
                <w:lang w:val="en-US" w:eastAsia="zh-CN" w:bidi="ar"/>
                <w14:textFill>
                  <w14:solidFill>
                    <w14:schemeClr w14:val="tx1"/>
                  </w14:solidFill>
                </w14:textFill>
              </w:rPr>
              <w:t>一、技术要求</w:t>
            </w:r>
          </w:p>
        </w:tc>
      </w:tr>
      <w:tr w14:paraId="7077B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8" w:hRule="atLeast"/>
        </w:trPr>
        <w:tc>
          <w:tcPr>
            <w:tcW w:w="570" w:type="dxa"/>
            <w:tcBorders>
              <w:top w:val="single" w:color="auto" w:sz="4" w:space="0"/>
              <w:left w:val="single" w:color="auto" w:sz="4" w:space="0"/>
              <w:bottom w:val="single" w:color="auto" w:sz="4" w:space="0"/>
              <w:right w:val="single" w:color="auto" w:sz="4" w:space="0"/>
            </w:tcBorders>
            <w:shd w:val="clear" w:color="auto" w:fill="auto"/>
            <w:vAlign w:val="center"/>
          </w:tcPr>
          <w:p w14:paraId="0C26418B">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序号</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14:paraId="1C1EB591">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采购内容</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45A4B39">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品牌型号、生产厂家(填三个)</w:t>
            </w:r>
          </w:p>
        </w:tc>
        <w:tc>
          <w:tcPr>
            <w:tcW w:w="3270" w:type="dxa"/>
            <w:tcBorders>
              <w:top w:val="single" w:color="auto" w:sz="4" w:space="0"/>
              <w:left w:val="single" w:color="auto" w:sz="4" w:space="0"/>
              <w:bottom w:val="single" w:color="auto" w:sz="4" w:space="0"/>
              <w:right w:val="single" w:color="auto" w:sz="4" w:space="0"/>
            </w:tcBorders>
            <w:shd w:val="clear" w:color="auto" w:fill="auto"/>
            <w:vAlign w:val="center"/>
          </w:tcPr>
          <w:p w14:paraId="6791153D">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技术参数</w:t>
            </w:r>
          </w:p>
        </w:tc>
        <w:tc>
          <w:tcPr>
            <w:tcW w:w="705" w:type="dxa"/>
            <w:tcBorders>
              <w:top w:val="single" w:color="auto" w:sz="4" w:space="0"/>
              <w:left w:val="single" w:color="auto" w:sz="4" w:space="0"/>
              <w:bottom w:val="single" w:color="auto" w:sz="4" w:space="0"/>
              <w:right w:val="single" w:color="auto" w:sz="4" w:space="0"/>
            </w:tcBorders>
            <w:shd w:val="clear" w:color="auto" w:fill="auto"/>
            <w:vAlign w:val="center"/>
          </w:tcPr>
          <w:p w14:paraId="3D8607F6">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计量单位</w:t>
            </w:r>
          </w:p>
        </w:tc>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2E220983">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数量</w:t>
            </w:r>
          </w:p>
        </w:tc>
        <w:tc>
          <w:tcPr>
            <w:tcW w:w="722" w:type="dxa"/>
            <w:tcBorders>
              <w:top w:val="single" w:color="auto" w:sz="4" w:space="0"/>
              <w:left w:val="single" w:color="auto" w:sz="4" w:space="0"/>
              <w:bottom w:val="single" w:color="auto" w:sz="4" w:space="0"/>
              <w:right w:val="single" w:color="auto" w:sz="4" w:space="0"/>
            </w:tcBorders>
            <w:shd w:val="clear" w:color="auto" w:fill="auto"/>
            <w:vAlign w:val="bottom"/>
          </w:tcPr>
          <w:p w14:paraId="130743E8">
            <w:pPr>
              <w:keepNext w:val="0"/>
              <w:keepLines w:val="0"/>
              <w:widowControl/>
              <w:suppressLineNumbers w:val="0"/>
              <w:jc w:val="center"/>
              <w:textAlignment w:val="bottom"/>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单价</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（万元）</w:t>
            </w:r>
          </w:p>
        </w:tc>
        <w:tc>
          <w:tcPr>
            <w:tcW w:w="1093" w:type="dxa"/>
            <w:tcBorders>
              <w:top w:val="single" w:color="auto" w:sz="4" w:space="0"/>
              <w:left w:val="single" w:color="auto" w:sz="4" w:space="0"/>
              <w:bottom w:val="single" w:color="auto" w:sz="4" w:space="0"/>
              <w:right w:val="single" w:color="auto" w:sz="4" w:space="0"/>
            </w:tcBorders>
            <w:shd w:val="clear" w:color="auto" w:fill="auto"/>
            <w:vAlign w:val="bottom"/>
          </w:tcPr>
          <w:p w14:paraId="322AE997">
            <w:pPr>
              <w:keepNext w:val="0"/>
              <w:keepLines w:val="0"/>
              <w:widowControl/>
              <w:suppressLineNumbers w:val="0"/>
              <w:jc w:val="center"/>
              <w:textAlignment w:val="bottom"/>
              <w:rPr>
                <w:rFonts w:hint="eastAsia" w:ascii="宋体" w:hAnsi="宋体" w:eastAsia="宋体" w:cs="宋体"/>
                <w:b/>
                <w:bCs/>
                <w:i w:val="0"/>
                <w:iCs w:val="0"/>
                <w:color w:val="000000" w:themeColor="text1"/>
                <w:sz w:val="21"/>
                <w:szCs w:val="21"/>
                <w:u w:val="none"/>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小计</w:t>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（万元）</w:t>
            </w:r>
          </w:p>
        </w:tc>
      </w:tr>
      <w:tr w14:paraId="3E059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34" w:hRule="atLeast"/>
        </w:trPr>
        <w:tc>
          <w:tcPr>
            <w:tcW w:w="570" w:type="dxa"/>
            <w:tcBorders>
              <w:top w:val="single" w:color="auto" w:sz="4" w:space="0"/>
              <w:left w:val="single" w:color="000000" w:sz="4" w:space="0"/>
              <w:bottom w:val="single" w:color="000000" w:sz="4" w:space="0"/>
              <w:right w:val="single" w:color="000000" w:sz="4" w:space="0"/>
            </w:tcBorders>
            <w:shd w:val="clear" w:color="auto" w:fill="auto"/>
            <w:vAlign w:val="center"/>
          </w:tcPr>
          <w:p w14:paraId="167B411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825" w:type="dxa"/>
            <w:tcBorders>
              <w:top w:val="single" w:color="auto" w:sz="4" w:space="0"/>
              <w:left w:val="single" w:color="000000" w:sz="4" w:space="0"/>
              <w:bottom w:val="single" w:color="000000" w:sz="4" w:space="0"/>
              <w:right w:val="single" w:color="000000" w:sz="4" w:space="0"/>
            </w:tcBorders>
            <w:shd w:val="clear" w:color="auto" w:fill="auto"/>
            <w:vAlign w:val="center"/>
          </w:tcPr>
          <w:p w14:paraId="11E9CA2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中央台-1</w:t>
            </w:r>
          </w:p>
        </w:tc>
        <w:tc>
          <w:tcPr>
            <w:tcW w:w="1530" w:type="dxa"/>
            <w:tcBorders>
              <w:top w:val="single" w:color="auto" w:sz="4" w:space="0"/>
              <w:left w:val="single" w:color="000000" w:sz="4" w:space="0"/>
              <w:bottom w:val="single" w:color="000000" w:sz="4" w:space="0"/>
              <w:right w:val="single" w:color="000000" w:sz="4" w:space="0"/>
            </w:tcBorders>
            <w:shd w:val="clear" w:color="auto" w:fill="auto"/>
            <w:vAlign w:val="center"/>
          </w:tcPr>
          <w:p w14:paraId="3E34E0F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auto" w:sz="4" w:space="0"/>
              <w:left w:val="single" w:color="000000" w:sz="4" w:space="0"/>
              <w:bottom w:val="single" w:color="000000" w:sz="4" w:space="0"/>
              <w:right w:val="single" w:color="000000" w:sz="4" w:space="0"/>
            </w:tcBorders>
            <w:shd w:val="clear" w:color="auto" w:fill="auto"/>
            <w:vAlign w:val="center"/>
          </w:tcPr>
          <w:p w14:paraId="3DEE7FA8">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一、规格4500*1500*850mm，                                                                                                                                                                       整体要求：本次所有实验室成套家具综合单价为全包含税价，包含原有老旧家具拆除、旧物清运、成品运输、上楼搬运、现场就位、安装固定、调试验收、施工垃圾清理、成品保护等全部内容，所有人工、辅材、机械、清运费用均含在内，招标人不另行增加任何相关费用。拆除施工不得损坏原有墙体、地面、门窗、管线、水电等现有建筑设施，全程文明施工，完工后现场整洁达标。                                                                                                                                                                       ▲二、台面：采用 20mm 厚一体成型高温烧制实验室工业陶瓷台面，见截面采用同色低温上釉（或者黑坯），平板台面釉料与胚体经高温一体烧结而成，表面釉面颜色和胚体颜色一致的（或者黑坯）实验室专用陶瓷台面，台面需满足或优于以下技术要求所有指标，须在投标文件中提供通第三方检测机构出具的符合以下参数的检测报告复印件，并加盖台面生产厂家鲜章：▲1.耐酸碱腐蚀：陶瓷台面可抵御（除氢氟酸等同类型化学试剂）强酸强碱及有机溶剂腐蚀。参照GB/T17657-2022 4.43试验方法标准进行检测，污染物接触时间48h，至少对二氧乙酸15%、正丁醇 99.8%、三氯甲烷 99%、四氢呋喃 99.5%、对甲酚饱和溶液、氯化铁溶液 10%、尿素溶液 6%、硫酸 98%、硝酸 65%在内的多种化学试剂的测试表面无变化，达到5级（投标时，投标人提供带有CNAS或CMA标志的权威检测机构出具的检测报告复印件，复印件须加盖台面生产厂家鲜章，原件备查）。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▲2.静曲强度：要求台面强度良好，参照GB/T 17657-2022 4.9 静曲强度污渍处理法，检测结果不低于52MPa。（投标时，投标时投标人提供带有CNAS或CMA标志的权威检测机构出具的检测报告复印件并加盖投标人公章，复印件须加盖台面生产厂家鲜章，原件备查）。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▲3.抗冲击性能：台面抗冲击性能良好，参照检测标准GB/T17657-2022 4.53，钢球质量:324g。在900mm的高度进行冲击后，板面无破损，且压痕直径不大于4.5mm。（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▲4.耐高温性能：台面在高温下表层耐开裂性能良好，参照GB/T 17657-2022 4.30进行检测，检测结果为试件表面无裂纹。（投标时，投标人提供带有CNAS或CMA标志的权威检测机构出具的检测报告复印件并加盖投标人公章，复印件须加盖台面生产厂家鲜章，原件备查）。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▲5.表面耐冷热循环 ：参照GB/T17657-2022标准，经过冷热循环检测，板材表面无裂纹鼓泡现象。（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6.哑光色泽：台面为哑光色泽，台面漫反射性能好，要求提供台面光泽度检测报告，检测结果值不高于30。（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▲7.A级不燃材料：陶瓷台面燃烧性能为A1级，燃烧热值不大于0，持续燃烧时间为0.</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▲8.耐高温性能：台面耐高温性能良好，要求提供检测不低于1400℃的检测报告。（投标时，投标人提供对应产品的检测报告复印件，复印件须加盖台面生产厂家鲜章，原件备查）。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▲9.承重500kg：产品表面加载不小于500kg重量, 高于72小时，检测结果表面无破损变形。（投标时，投标人提供由SGS出具的承重性检测报告复印件，复印件须加盖台面生产厂家鲜章，原件备查）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10.物理承载测试：跨距为660mm,加载速度为5mm/min，对台面的物理承载进行测试，记录跨距3%的承载力值，检测结果的平均值不低于15000N，（第二版值16500N）。（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▲11.巴克尔硬度：对台面的硬度进行测试，要求巴克尔硬度的检测结果不低于90HBa。（投标时，投标人提供对应产品的检测报告复印件，复印件须加盖台面生产厂家鲜章，原件备查）。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▲12.压缩强度：对台面的物理性能进行测试，要求其压缩强度不低于400Mpa。（投标时，投标人提供对应产品的检测报告复印件，复印件须加盖台面生产厂家鲜章，原件备查）。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三、柜体：采用上抽下柜式，板材 1.0mm 优质镀锌钢板在数控加工中心、剪裁、定位打孔、折弯焊接后成型，经除尘，除油后喷涂环氧树脂粉末高温烘烤固化。附着力高、表面硬度耐腐蚀性极强，外形美观。下柜配置一层可调节层板。</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四、柜门、抽面：采用 1.0mm 优质镀锌钢板，柜门为双层，拉手与柜门可喷涂不同颜色搭配。</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五、封板：采用活动式卡扣式自由拆卸封板结构，卡扣式结构更便于使用过程中检修水、电、气等管道。</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六、服务通道：柜体背后离墙有一个服务通道距离，用来布设电、水、气管路，隐藏设计。                                                                  </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七、配件：拉手采用一体成型拉手，外形美观，耐腐蚀。配置开合110°铰链，外形美观，开合时无噪音。三节静音导轨，开合平稳，承重力强。八、给排水及强弱电系统施工技术要求： </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1、本次施工范围涵盖实验室供电系统、给水系统、排水系统全专业配套建设。</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2、电气供电系统需满足实验室全域设备及日常使用负荷要求，配电线路全部采用国标纯铜芯电线电缆，符合国家电气规范标准。</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3、室内给水管道采用PPR热熔式管材及配件，热熔连接施工，保证管路密闭防渗漏。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4、排水管道采用PVC专用排水管材管件，按规范坡度布设，确保排水通畅、耐腐蚀。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5、强弱电插座含实验室专用防护插座、通用普通插座，点位布设、安装位置严格遵照使用部门需求及现场工艺要求执行。</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6、公共过道管线敷设采用地面开槽工艺，线槽施工完成后，加装304不锈钢线槽盖板封闭防护，兼顾美观与防护性能。</w:t>
            </w:r>
          </w:p>
        </w:tc>
        <w:tc>
          <w:tcPr>
            <w:tcW w:w="705" w:type="dxa"/>
            <w:tcBorders>
              <w:top w:val="single" w:color="auto" w:sz="4" w:space="0"/>
              <w:left w:val="single" w:color="000000" w:sz="4" w:space="0"/>
              <w:bottom w:val="single" w:color="000000" w:sz="4" w:space="0"/>
              <w:right w:val="single" w:color="000000" w:sz="4" w:space="0"/>
            </w:tcBorders>
            <w:shd w:val="clear" w:color="auto" w:fill="auto"/>
            <w:vAlign w:val="center"/>
          </w:tcPr>
          <w:p w14:paraId="0285680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auto" w:sz="4" w:space="0"/>
              <w:left w:val="single" w:color="000000" w:sz="4" w:space="0"/>
              <w:bottom w:val="single" w:color="000000" w:sz="4" w:space="0"/>
              <w:right w:val="single" w:color="000000" w:sz="4" w:space="0"/>
            </w:tcBorders>
            <w:shd w:val="clear" w:color="auto" w:fill="auto"/>
            <w:vAlign w:val="center"/>
          </w:tcPr>
          <w:p w14:paraId="52457E3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auto" w:sz="4" w:space="0"/>
              <w:left w:val="single" w:color="000000" w:sz="4" w:space="0"/>
              <w:bottom w:val="single" w:color="000000" w:sz="4" w:space="0"/>
              <w:right w:val="single" w:color="000000" w:sz="4" w:space="0"/>
            </w:tcBorders>
            <w:shd w:val="clear" w:color="auto" w:fill="auto"/>
            <w:vAlign w:val="bottom"/>
          </w:tcPr>
          <w:p w14:paraId="6FE00F0C">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c>
          <w:tcPr>
            <w:tcW w:w="1093" w:type="dxa"/>
            <w:tcBorders>
              <w:top w:val="single" w:color="auto" w:sz="4" w:space="0"/>
              <w:left w:val="single" w:color="000000" w:sz="4" w:space="0"/>
              <w:bottom w:val="single" w:color="000000" w:sz="4" w:space="0"/>
              <w:right w:val="single" w:color="000000" w:sz="4" w:space="0"/>
            </w:tcBorders>
            <w:shd w:val="clear" w:color="auto" w:fill="auto"/>
            <w:vAlign w:val="bottom"/>
          </w:tcPr>
          <w:p w14:paraId="0CAF23C8">
            <w:pPr>
              <w:jc w:val="center"/>
              <w:rPr>
                <w:rFonts w:hint="eastAsia" w:ascii="宋体" w:hAnsi="宋体" w:eastAsia="宋体" w:cs="宋体"/>
                <w:i w:val="0"/>
                <w:iCs w:val="0"/>
                <w:color w:val="000000" w:themeColor="text1"/>
                <w:sz w:val="21"/>
                <w:szCs w:val="21"/>
                <w:u w:val="none"/>
                <w14:textFill>
                  <w14:solidFill>
                    <w14:schemeClr w14:val="tx1"/>
                  </w14:solidFill>
                </w14:textFill>
              </w:rPr>
            </w:pPr>
          </w:p>
        </w:tc>
      </w:tr>
      <w:tr w14:paraId="01187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3"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6FA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997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中央台-2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290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0779">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规格3500*1500*850mm，台面、箱体技术要求与中央台-1一致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E1B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CC00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18AAA3">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1C083E">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4821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8"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F4A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B899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中央台-3</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CFB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69CF">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规格10000*1500*850mm，                                                                                                                                                                       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8F2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FAD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9E4FC7">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CC55BD">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3CDCE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73"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C41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7EF8">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中央台-4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97E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1285">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规格6000*1500*850mm，                                                                                                                                                                       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38F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227B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8415B0">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3FD673">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1A34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3"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CB7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417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44D4">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F2B3">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规格：5500*750*850mm，台面、箱体技术要求与中央台-1一致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8D9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6A6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C338BD">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6E44B5">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3C0C8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2"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637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C7C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CEE8">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1452">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规格：2250*750*850mm，台面、箱体技术要求与中央台-1一致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8CE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090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A3CD78">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E32A3D">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1CAC3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97C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A67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边台-3</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F4EC">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4317">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规格：6000*750*850mm，台面、箱体技术要求与中央台-1一致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57C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88C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11CF60">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0DB215">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135BF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1"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101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7E4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C42C">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9AF89">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规格：900*750*850mm，台面、箱体技术要求与中央台-1一致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3CE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4C5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24</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49F0A5">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520A98">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56010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A93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B80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828C">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225C">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规格：2000*750*850mm，台面、箱体技术要求与中央台-1一致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DB3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DBD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5EFFB6">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6DBB8F">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5DBAF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EEB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97D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边台-6</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9091">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39535">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规格：3000*750*850mm台面、箱体技术要求与中央台-1一致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BF3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BB5D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045CD5">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314CD7">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60CF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5A9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947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边台-7</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6C1A">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B6F4">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规格：4000*750*850mm，台面、箱体技术要求与中央台-1一致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207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CBD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25259E">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C06F5B">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74B95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B24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D39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边台-8</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A794">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6E56">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规格：3500*750*850mm，台面、箱体技术要求与中央台-1一致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E8A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83D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7B5611">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190A25">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76094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F13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96E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边台-9</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BDBF">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8E7F">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规格：2500*750*850mm，台面、箱体技术要求与中央台-1一致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DA6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42A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3C2DEB">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22FC00">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68A34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627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613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B75A9">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1E09">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规格：1200*750*850mm，台面、箱体技术要求与中央台-1一致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9EB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109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32F3F4">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8F840A">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194AB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826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DAD8">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边台-11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EA7F">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E07F">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规格：10000*750*850mm，台面、箱体技术要求与中央台-1一致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18C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B5C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ABE505">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1ACFA6">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2BB3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974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53F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边台-12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04F7">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F845D">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规格：1500*750*850mm，台面、箱体技术要求与中央台-1一致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643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223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946196">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9E44D0">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0CFDA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C889">
            <w:pPr>
              <w:keepNext w:val="0"/>
              <w:keepLines w:val="0"/>
              <w:widowControl/>
              <w:suppressLineNumbers w:val="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17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2D65">
            <w:pPr>
              <w:keepNext w:val="0"/>
              <w:keepLines w:val="0"/>
              <w:widowControl/>
              <w:suppressLineNumbers w:val="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边台-13</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4DAB">
            <w:pPr>
              <w:keepNext w:val="0"/>
              <w:keepLines w:val="0"/>
              <w:widowControl/>
              <w:suppressLineNumbers w:val="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538B">
            <w:pPr>
              <w:keepNext w:val="0"/>
              <w:keepLines w:val="0"/>
              <w:widowControl/>
              <w:suppressLineNumbers w:val="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一、规格：4500*750*650mm，台面、箱体技术要求与中央台-1一致 ；二、实验室家具配套工位安全与设备台账管理模块，参数要求如下：</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1.▲ 中标履约要求：中标方在中标二日内搭建系统演示环境，逐条进行技术参数功能演示确认，并提供招标文件中相关要求的证明资料供用户单位核验；未提供证明资料或功能演示不全的，视为虚假响应，采购人有权拒签合同并上报监管部门，由此产生的一切责任由供应商自行承担（投标时须提供加盖投标人公章的承诺函）</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2.实验边台（灭菌工位）配套智能物联模块：台柜集成物联网智能电源输出回路，支持二维码扫码授权通断工位电源；扫码前校验操作人员安全资质，无有效资质禁止人员使用。</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 ①智能电源管理单元通断电管理：高压灭菌锅须绑定智能电源管理单元，支持二维码扫码授权通断回路电源；智能电源管理单元须支持绑定刷卡识别装置，人员刷卡经系统鉴权后自动通电（上机），再次刷卡自动断电（下机）。（投标时投标人须提供本项目拟投系统对应的功能截图）</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②具备状态联锁逻辑：灭菌锅处于运行 / 保压状态时，后台与扫码终端禁止远程切断回路电源，仅保留本地断路器紧急断电权限；</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③用电安全监测：实时采集高压灭菌锅的运行电压（0～250V）、电流（0～10A）、实时功率、累计电量及开关状态，支持电压、电流上限设置与超限报警，提供用电量趋势、用电热力图等统计分析报表，报表均支持导出。</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④培训考核授权通电闭环：系统须支持对高压灭菌锅配置培训考核准入，使用人须先完成在线安全学习并通过考试，系统颁发仪器考核合格证书（证书可打印、可批量导出），未通过考核的人员无法扫码使用；考核成功后方可通过手机扫码或刷卡方式鉴权通电使用。（投标时投标人须提供本项目拟投系统对应的功能截图）</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⑤安全教育培训：支持高压灭菌锅操作的在线学习（视频／文档）、题库管理、在线练习、模拟考试与正式考试、成绩统计分析、合格证书打印与批量导出。</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⑥非法使用自动报警：智能电源管理单元须具备非法使用检测功能，当检测到设备回路存在工作电流但无授权使用记录时，系统自动产生报警并推送至管理人员，报警记录可查询、备注及导出。（投标时投标人须提供本项目拟投系统对应的功能截图）</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3.配套工位安全台账管理模块：可自动采集工位上高压灭菌锅运行记录，自动建立电子化设备使用台账；支持操作日志、维保记录电子化存储，可导出 PDF/Excel 审计报表。</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①全资产一物一码与扫码盘点：台、柜、灭菌锅等实验室资产须统一赋予二维码标识（一物一码），标签模板支持自定义（显示字段可选、纸张规格可调、二维码／一维条码可选）；扫码可查看资产档案、扫码可查看高压灭菌锅安全风险、操作注意事项；盘点支持 PC 端盘点与移动端扫码盘点两种方式，盘点单可按部门或房间位置生成。（投标时投标人须提供本项目拟投系统对应的功能截图）</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②设备电子台账：支持资产编号、名称、分类、品牌、型号规格、存放位置（关联房间）、管理人、使用状态、图片、附件等信息管理，附件可存放特种设备登记证等资料；台账支持新增、编辑、停用、批量导入等操作。</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③使用台账自动生成：设备通电使用过程自动生成使用台账（操作人、操作时间、操作类型、操作对象），台账可查询、可导出，无需人工登记，实现使用过程全程留痕可溯。</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④设备维保管理：支持设备维护登记、维修记录、维修计划管理，支持部件级维护周期与提前提醒设置，提供维修统计分析。</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⑤权限管理模块：支持人员培训资质录入、有效期预警；高压灭菌锅操作权限可单独授权，教学中心可管理学生、实验员两类权限。</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4.实验边台（灭菌工位）配套嵌入式可视化显示组件</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①支持展示房间内家具及设备资产信息，包括实验台、柜子、高压灭菌锅等仪器设备；屏幕尺寸≥21.5寸，多点电容触摸，分辨率≥1920*1080，内存≥2GB，存储≥16GB；</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②展示内容含资产名称、数量、型号、规格、存放位置、分类号等（来源：资产管理系统）；</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③资产数据与资产台账实时联动，资产新增/变更/盘点后自动同步更新。</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④支持展示实验室房间人员使用设备的数据，含当前使用人、使用时间段、使用状态；</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⑤支持展示已配置智能电源的仪器设备的上机/下机、通电/断电、使用时长；</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⑥支持展示实验室房间管理员姓名及联系电话；</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⑦管理员信息来自房间信息管理，可配置并可随时更新。</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⑧支持展示实验室分类（化学类/生物类/辐射类/机电类/其他类）与风险等级（Ⅰ~Ⅳ级），符合教育部分级分类管理要求；</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⑨支持展示实验室负责人及联系电话；</w:t>
            </w:r>
            <w:r>
              <w:rPr>
                <w:rFonts w:hint="eastAsia" w:ascii="黑体" w:hAnsi="宋体" w:eastAsia="黑体" w:cs="黑体"/>
                <w:i w:val="0"/>
                <w:iCs w:val="0"/>
                <w:color w:val="auto"/>
                <w:kern w:val="0"/>
                <w:sz w:val="21"/>
                <w:szCs w:val="21"/>
                <w:u w:val="none"/>
                <w:lang w:val="en-US" w:eastAsia="zh-CN" w:bidi="ar"/>
              </w:rPr>
              <w:br w:type="textWrapping"/>
            </w:r>
            <w:r>
              <w:rPr>
                <w:rFonts w:hint="eastAsia" w:ascii="黑体" w:hAnsi="宋体" w:eastAsia="黑体" w:cs="黑体"/>
                <w:i w:val="0"/>
                <w:iCs w:val="0"/>
                <w:color w:val="auto"/>
                <w:kern w:val="0"/>
                <w:sz w:val="21"/>
                <w:szCs w:val="21"/>
                <w:u w:val="none"/>
                <w:lang w:val="en-US" w:eastAsia="zh-CN" w:bidi="ar"/>
              </w:rPr>
              <w:t>⑩支持展示实验室注意事项、安全操作规程要点、应急处置提示等文本信息；</w:t>
            </w:r>
            <w:r>
              <w:rPr>
                <w:rFonts w:hint="eastAsia" w:ascii="黑体" w:hAnsi="宋体" w:eastAsia="黑体" w:cs="黑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⑪</w:t>
            </w:r>
            <w:r>
              <w:rPr>
                <w:rFonts w:hint="eastAsia" w:ascii="黑体" w:hAnsi="宋体" w:eastAsia="黑体" w:cs="黑体"/>
                <w:i w:val="0"/>
                <w:iCs w:val="0"/>
                <w:color w:val="auto"/>
                <w:kern w:val="0"/>
                <w:sz w:val="21"/>
                <w:szCs w:val="21"/>
                <w:u w:val="none"/>
                <w:lang w:val="en-US" w:eastAsia="zh-CN" w:bidi="ar"/>
              </w:rPr>
              <w:t>支持展示安全信息牌内容（危险源、防护措施、安全图标等）；</w:t>
            </w:r>
            <w:r>
              <w:rPr>
                <w:rFonts w:hint="eastAsia" w:ascii="黑体" w:hAnsi="宋体" w:eastAsia="黑体" w:cs="黑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⑫</w:t>
            </w:r>
            <w:r>
              <w:rPr>
                <w:rFonts w:hint="eastAsia" w:ascii="黑体" w:hAnsi="宋体" w:eastAsia="黑体" w:cs="黑体"/>
                <w:i w:val="0"/>
                <w:iCs w:val="0"/>
                <w:color w:val="auto"/>
                <w:kern w:val="0"/>
                <w:sz w:val="21"/>
                <w:szCs w:val="21"/>
                <w:u w:val="none"/>
                <w:lang w:val="en-US" w:eastAsia="zh-CN" w:bidi="ar"/>
              </w:rPr>
              <w:t>支持接入环境监测器，展示实验室环境数据（温度、湿度等）；</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CA118">
            <w:pPr>
              <w:keepNext w:val="0"/>
              <w:keepLines w:val="0"/>
              <w:widowControl/>
              <w:suppressLineNumbers w:val="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0496">
            <w:pPr>
              <w:keepNext w:val="0"/>
              <w:keepLines w:val="0"/>
              <w:widowControl/>
              <w:suppressLineNumbers w:val="0"/>
              <w:jc w:val="center"/>
              <w:textAlignment w:val="center"/>
              <w:rPr>
                <w:rFonts w:hint="eastAsia" w:ascii="黑体" w:hAnsi="宋体" w:eastAsia="黑体" w:cs="黑体"/>
                <w:i w:val="0"/>
                <w:iCs w:val="0"/>
                <w:color w:val="auto"/>
                <w:sz w:val="21"/>
                <w:szCs w:val="21"/>
                <w:u w:val="none"/>
              </w:rPr>
            </w:pPr>
            <w:r>
              <w:rPr>
                <w:rFonts w:hint="eastAsia" w:ascii="黑体" w:hAnsi="宋体" w:eastAsia="黑体" w:cs="黑体"/>
                <w:i w:val="0"/>
                <w:iCs w:val="0"/>
                <w:color w:val="auto"/>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DCDACD">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0A4089">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522A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E1B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31D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操作台</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226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B1DF">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一、规格4500*1500*850mm，                                                                                                                                                                   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022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730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8A4304">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CDC5CE">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4A621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D438">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EBD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讲台</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37BD">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D0DF">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 xml:space="preserve">规格：2000*750*850mm，台面、箱体技术要求与中央台-1一致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749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张</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680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1B773E">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7A5343">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1C2F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B7F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AEE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试剂架-1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4C6B">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7274">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规格：4500*300*700mm1、结构：钢玻试剂架主要有立柱、挂片、钢化玻璃、不锈钢管、插座组成。</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2、立柱: 采用1mm厚冷轧钢钣金成型，经酸洗后做环氧树脂喷涂；外尺寸40mm*100mm*400mm。底部预留固定螺丝孔及电路通过。侧面预留挂片插孔，用于调节层间高度；预留插座孔，用于安装防溅插座。</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3、挂片：采用1mm厚镀锌钢板，经处理后做环氧树脂喷涂；小挂片250mm分左右方向，大挂片300mm不分左右方向。用于担起玻璃和调节玻璃高度。</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4、钢化玻璃：8-10mm厚钢化玻璃既能承重，也不会因为自身厚度占用空间及资源浪费。</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5、不锈钢管：采用优质304不锈钢，钢管直径12.7mm，厚度为1.0mm，两头用PVC堵头，既美观大方，又拆卸简单。                                                                                                 6、附加配置：10A或16A防溅插座，单层带LED照明灯源。</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9C6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E64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51C861">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33B6A9">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01E19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3F2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576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试剂架-2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2383">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5241">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规格：5000*300*700mm，材质与技术要求与试剂架-1一致。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DF2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3195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244C39">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F8A46D">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75157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CDF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E7B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试剂架-3</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4D6F">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48E7">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规格：3600*300*700mm，材质与技术要求与试剂架-1一致。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F651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288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FA98FA">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4263E3">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1B77E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72C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3FF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试剂架-4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FBC2">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2584">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规格：10000*300*700mm，材质与技术要求与试剂架-1一致。 6、附加配置：10A或16A防溅插座，单层带LED照明灯源。</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348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F7C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F1D673">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B4788F">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0D57F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B51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8E2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试剂架-5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B6AF">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F827">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规格：6000*300*700mm，材质与技术要求与试剂架-1一致。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02D4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BD9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39B4C6">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82227A">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78CA0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E2E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621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吊柜-1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759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A611">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1、全钢结构：6000*300*600mm。                                                                                      2、柜体： 采用 1.0mm 优质镀锌钢板在数控加工中心、剪裁、定位打孔、折弯焊接后成型，经除尘，除油后喷涂环氧树脂粉末高温烘烤固化。附着力高、表面硬度耐腐蚀性极强，外形美观。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3、柜门说明：配置为全钢加玻璃门两者的组合。采用 1.0mm 优质镀锌钢板（双层），无焊连接可拆卸带减震垫。在数控加工中心、剪裁、定位打孔、折弯焊接后成型，需经除尘，除油后喷涂环氧树脂粉末高温烘烤固化。表面附着力高、硬度耐腐蚀性极强，外形美观。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4、层板说明：层板采用 1.0mm 优质镀锌钢板在数控加工中心、剪裁、定位打孔、折弯焊接后成型，需经除尘，除油后喷涂环氧树脂粉末高温烘烤固化。配置1层层板，层高可以自由调节。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5、配件：拉手采用一体成型拉手或U型拉手，外形美观，耐腐蚀。配置开合110°铰链，外形美观，开合时无噪音。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839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组</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DAC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39481F">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EB21C8">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06350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EBD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BFD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吊柜-2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2E5D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33A87">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1、全钢结构：3600*300*600mm。                                                                                      2、柜体：柜体技术要求与吊柜-1一致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F59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组</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5F9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5C9FC2">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A4FCEA">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79561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3"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220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2A0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通风柜</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A98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薪火云、成威、希亚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0DA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1.规格（长*宽*高）：≥1500*900*2350mm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▲2.全钢材质，台面：采用 20mm 厚一体成型高温烧制实验室工业陶瓷台面，见截面采用同色低温上釉（或者黑坯），平板台面釉料与胚体经高温一体烧结而成，表面釉面颜色和胚体颜色一致的（或者黑坯）实验室专用陶瓷台面，台面需满足或优于以下技术要求所有指标，须在投标文件中提供通第三方检测机构出具的符合以下参数的检测报告复印件，并加盖台面生产厂家鲜章：▲2.1.耐酸碱腐蚀：陶瓷台面可抵御（除氢氟酸等同类型化学试剂）强酸强碱及有机溶剂腐蚀。参照GB/T17657-2022 4.43试验方法标准进行检测，污染物接触时间48h，至少对二氧乙酸15%、正丁醇 99.8%、三氯甲烷 99%、四氢呋喃 99.5%、对甲酚饱和溶液、氯化铁溶液 10%、尿素溶液 6%、硫酸 98%、硝酸 65%在内的多种化学试剂的测试表面无变化，达到5级（投标时，投标人提供带有CNAS或CMA标志的权威检测机构出具的检测报告复印件，复印件须加盖台面生产厂家鲜章，原件备查）。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▲2.2.静曲强度：要求台面强度良好，参照GB/T 17657-2022 4.9 静曲强度污渍处理法，检测结果不低于52MPa。（投标时，投标时投标人提供带有CNAS或CMA标志的权威检测机构出具的检测报告复印件并加盖投标人公章，复印件须加盖台面生产厂家鲜章，原件备查）。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▲2.3.抗冲击性能：台面抗冲击性能良好，参照检测标准GB/T17657-2022 4.53，钢球质量:324g。在900mm的高度进行冲击后，板面无破损，且压痕直径不大于4.5mm。（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▲2.4.耐高温性能：台面在高温下表层耐开裂性能良好，参照GB/T 17657-2022 4.30进行检测，检测结果为试件表面无裂纹。（投标时，投标人提供带有CNAS或CMA标志的权威检测机构出具的检测报告复印件并加盖投标人公章，复印件须加盖台面生产厂家鲜章，原件备查）。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▲2.5.表面耐冷热循环 ：参照GB/T17657-2022标准，经过冷热循环检测，板材表面无裂纹鼓泡现象。（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2.6.哑光色泽：台面为哑光色泽，台面漫反射性能好，要求提供台面光泽度检测报告，检测结果值不高于30。（投标时，投标人提供带有CNAS或CMA标志的权威检测机构出具的检测报告复印件并加盖投标人公章，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▲2.7.A级不燃材料：陶瓷台面燃烧性能为A1级，燃烧热值不大于0，持续燃烧时间为0.</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▲2.8.耐高温性能：台面耐高温性能良好，要求提供检测不低于1400℃的检测报告。（投标时，投标人提供对应产品的检测报告复印件，复印件须加盖台面生产厂家鲜章，原件备查）。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▲2.9.承重500kg：产品表面加载不小于500kg重量, 高于72小时，检测结果表面无破损变形。（投标时，投标人提供由SGS出具的承重性检测报告复印件，复印件须加盖台面生产厂家鲜章，原件备查）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2.10.物理承载测试：跨距为660mm,加载速度为5mm/min，对台面的物理承载进行测试，记录跨距3%的承载力值，检测结果的平均值不低于15000N，（第二版值16500N）。（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▲2.11.巴克尔硬度：对台面的硬度进行测试，要求巴克尔硬度的检测结果不低于90HBa。（投标时，投标人提供对应产品的检测报告复印件，复印件须加盖台面生产厂家鲜章，原件备查）。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▲2.12.压缩强度：对台面的物理性能进行测试，要求其压缩强度不低于400Mpa。（投标时，投标人提供对应产品的检测报告复印件，复印件须加盖台面生产厂家鲜章，原件备查）。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3.主要性能参数</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▲3.1.通风柜需通过JB/T 6412-1999 排风柜 型式检测，在投标文件中提供具有CMA和CNAS认证的机构出具的性能检测报告复印件，加盖投标人公章。</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▲3.2.通风柜需通过EN14175-3:2019 型检测认证，通风柜平均面风速：0.29m/s±5%，浓度测试内侧法及外侧法结果&lt;0.01ppm。在投标文件中提供具有CMA和CNAS认证的机构出具的性能检测报告复印件，加盖投标人公章。</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▲3.3.通风柜需通过ASHRAE110-2016实验室排风柜性能测试方法 出厂检测（AM），并符合以下性能要求（需提供具有CMA和CNAS认证的机构出具的性能检测报告复印件，加盖投标人公章）：</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平均面风速 通风柜平均面风速：0.28m/s±5%；</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烟雾可视化 a.小烟雾：无可见的外溢或逃逸，b.大烟雾：无可见的外溢或逃逸；</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示踪气体浓度测试 泄漏率≦0.000ppm；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拉门移动影响测试 泄漏率≦0.002ppm；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周边扫描 泄漏率≦0.005ppm；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静压/阻力 小于30Pa。</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4.主体结构：</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4.1.上柜</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4.1.1.外尺寸（长*宽*高）：≥1500*900*1500mm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4.1.2.上柜结构：主体采用国标1.0mm厚度的冷轧钢板，加强部分不小于1.5mm，经激光、数控折弯、焊接、打磨制作，然后经过电解除油剂，酸洗磷化后，再经实验室专用环氧树脂粉末静电喷涂处理，喷粉厚度为0.07～0.09mm,具有较强的抗酸碱，耐腐蚀性。上柜体外壳钢板与内壳内衬板之间留有维修通道，通风柜内衬与钢侧板外径≥130MM可拓展水阀气阀于内衬板上，便于维护且柜内留有检修窗，通风柜内空操作尺寸宽度不小于1240MM。集气罩采用加高弧度设计，风阻更小，集气效果更佳，有效减少通风柜自身压损同时降低噪音。</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4.1.3.内衬及导流板：采用5mm厚乳白色实验室专用抗倍特板，里外材质一致，双面光亮,为了避免高温电炉对内衬及导流板的影响，抗倍特板须具有耐腐蚀且具有抗弯曲等泄爆性能。</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4.1.4.移门：视窗玻璃采用厚度≥5mm的钢化防腐安全玻璃，强度大，抗弯性好，在实验过程中可保护实验人员的人身安全；移门的最大开启高度为780mm,视窗的外框采用了铝合金材质门框，移门把手双层圆弧中空设计，气体导流效果佳，与玻璃采用四边包夹嵌入式结合，确保视窗的安全性以及耐用性；移门采用同步带结构，传动比准确，对轴作用力小于23N，结构紧凑，耐用，耐磨性好，抗老化性能好，为最大程度保证通风柜气流顺畅移门视窗与通风柜立柱交界处内凹或缝隙≦5MM。滑动顺畅无卡顿无噪音无摩擦声且有超高警示标志。</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4.1.5.当同步带意外断裂时，防止视窗掉落伤害工作人员或砸碎有害试剂，通风柜视窗必须具坠落功能。将视窗拉至固定位置记为零点，把保险装置打开，记录视窗下落距离零点的距离需≤6mm，并提供权威第三方检测机构出具的符合上述参数的检测报告。</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4.1.6.立柱：通风柜前立柱为分体式，专用圆弧模具制作，与侧板之间装有专用静音滑槽，移门移动时更加静音，为避免视窗卡槽形成进风湍流与通风柜视窗交接处内凹或缝隙不得超过5MM。通风柜立柱宽度≥130MM可充分拓展各种插座、水气阀、VAV面板等安装，并且为加大R30圆弧面使通风柜进气更为顺畅，减少湍流，外形美观，具有精度高，表面光洁度好。环氧树脂粉末烤漆，附着力强。</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4.1.7. 风翼：双层双向圆弧结构设计，导风效果好，环氧树脂粉末烤漆，附着力强，防腐性能高，双边固定，方便拆卸检修清理，大大提高面风速稳流效果。</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4.2.下柜</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4.2.1.尺寸（长*宽*高）：≥1500*900*850mm。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柜体结构：采用国标1.0mm厚优质冷轧钢板制作,以确保结构的稳定性，经激光、数控折弯、焊接、打磨制作，然后经过电解除油剂，酸洗磷化后，再经实验室专用环氧树脂粉末静电喷涂处理，喷粉厚度为0.07～0.09mm,具有较强的抗酸碱，耐腐蚀性。下柜整体前后左右与上柜齐平，增大内部储藏及后部检修空间。下柜上部导流板采用倾斜设计，为通风柜风翼部分提供更顺畅的下部进风，进一步优化其性能。</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4.2.2.照明：采用长条灯罩式设计，内置一体化LED灯管，光照度≥700LUX。灯罩下面有安全玻璃面板并且和柜体密封，隐藏于导流板上面，易维修，具有泄爆功能。</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4.2.3.电器设施：220V电源插座均配置IP-55或以上防护等级的合盖式保护盒。</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5.外观结构</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▲5.1.金属件外观要求符合GB/T 24820-2009中“金属件外观要求”的规定：操作台无裂缝、渗透现象，操作台面无污物，无杂质，操作台金属件部分无毛刺，无裂缝，叠缝，管材端口封闭，焊接处无脱焊，无虚焊，无焊穿和错住。无脱层，无裂缝，涂层无漏喷无锈蚀，涂层光滑均匀，包泽一致，无流挂、疙瘩，皱皮，飞漆等缺陷。提供通过CMA或CNAS认证的检测机构出具的符合上述参数的检测报告。</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▲5.2.金属涂层：参照GB/T 6739-2006标准，硬度≥H，提供通过CMA或CNAS认证的检测机构出具的符合上述参数的检测报告。</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▲5.3.耐腐蚀性：参照GB/T 10125-2021标准，24h中性盐雾连续喷雾试验条件下，表面无裂纹、无起泡、无脱落、无变色，提供通过CMA或CNAS认证的检测机构出具的符合上述参数的检测报告。6.带排风系统1套，含风机1台、pp风管、弯头等配件。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FE3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E9F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D976D2">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359F77">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67CE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FEC4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48E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水槽水嘴-1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A5A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润旺达、科恩</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5C1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水槽：1、规格：外尺寸：572*474*336  内尺寸：499*401*320</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2、提笼：提笼直径88mm,篦子直径88mm,堵头直径100mm,整体高度55mm。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3、材质：采用优质全新高密度PP聚丙烯原包料，高压一体注塑成型，耐强酸强碱及有机溶液，化学稳定性良好，不易被化学试剂侵蚀；热力稳定性</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3、厚度：根据强度要求设计厚度为5mm-8mm。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4、附件：高密度PP去水；含阻水盖、PP提笼。</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5、水槽底部加装导流线，防止出现存水现象。                                                                                                                                                                                                                                 水槽需提供以下报告：</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1、水槽依据GB/T 1037-2021标准，检测水蒸气透过率，检测结果0.326g/m</w:t>
            </w:r>
            <w:r>
              <w:rPr>
                <w:rFonts w:hint="eastAsia" w:ascii="宋体" w:hAnsi="宋体" w:eastAsia="宋体" w:cs="宋体"/>
                <w:i w:val="0"/>
                <w:iCs w:val="0"/>
                <w:color w:val="000000"/>
                <w:kern w:val="0"/>
                <w:sz w:val="21"/>
                <w:szCs w:val="21"/>
                <w:u w:val="none"/>
                <w:lang w:val="en-US" w:eastAsia="zh-CN" w:bidi="ar"/>
              </w:rPr>
              <w:t>²</w:t>
            </w:r>
            <w:r>
              <w:rPr>
                <w:rFonts w:hint="eastAsia" w:ascii="黑体" w:hAnsi="宋体" w:eastAsia="黑体" w:cs="黑体"/>
                <w:i w:val="0"/>
                <w:iCs w:val="0"/>
                <w:color w:val="000000"/>
                <w:kern w:val="0"/>
                <w:sz w:val="21"/>
                <w:szCs w:val="21"/>
                <w:u w:val="none"/>
                <w:lang w:val="en-US" w:eastAsia="zh-CN" w:bidi="ar"/>
              </w:rPr>
              <w:t>24h。（投标时，提供CMA和CNAS检测机构出具的检验报告复印件，复印件加盖水槽生产厂家鲜章，原件备查。）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2、水槽依据GB/T 1034-2008标准，检测吸水率，将试样浸泡在（23±2）℃蒸馏水24h后取出，控去表面水分，1min内完成称重，结果≤0.05%。（投标时，提供CMA或CNAS检测机构出具的检验报告复印件，复印件加盖水槽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3、水槽依据GB/T 10006-2021标准，检测摩擦系数，静摩擦0.112μs，动摩擦0.088μd。（投标时，提供CMA或CNAS检测机构出具的检验报告复印件，复印件加盖水槽生产厂家鲜章，原件备查。）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4、水槽依据GB/T 5478-2008标准，在负载750g，转数500r,情况下，检测滚动磨损试验，质量损失≤0.005g。（投标时，提供CMA或CNAS检测机构出具的检验报告复印件，复印件加盖水槽生产厂家鲜章，原件备查。）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 水槽依据GB/T 12000-2017标准，在温度85°，相对湿度50%RH，1000h情况下，检测高温高湿，外观无可视变化。（投标时，需提供CMA和CNAS检测机构出具的检验报告复印件，复印件加盖水槽生产厂家鲜章，原件备查。）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6、水槽依据GB/T 1041-2008标准，检测50%压变时压缩强度，结果≥46MPa。（投标时，提供CMA或CNAS检测机构出具的检验报告复印件，复印件加盖水槽生产厂家鲜章，原件备查。）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水龙头:1、满足18145-2014 标准。</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2、涂层：高亮度环氧树脂涂层，耐腐蚀、耐热、防紫外线辐射。陶瓷阀芯90°旋转，使用寿命开关67万次。</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主体采用H63加厚铜管制作，整体高度≥560mm，重量≥1740g，直管管径Φ26*1.2mm，臂管管径Φ22*1.2mm，鹅颈管管径Φ19*1.0mm，可360°旋转，固定底座直径≥55mm，底座锁母与台面中间添加齿形止退垫，使连接后不易松动稳定性强，与台面安装牢固。</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4、实验室水龙头把手内置开关颜色装置，绿色为安全关闭状态，红色为开启使用状态，在停水的情况下快速了解水龙头的启闭情况。</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水龙头提供以下报告：</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1、水龙头依据GB/T 5478-2008标准，在负载750g、转数500r、砂轮类型CS-10、转速60rpm检测条件下，检测滚动磨损试验，检验结果：质量损失≤0.0063g。（投标时，提供CMA和CNAS检测机构出具的检验报告复印件，复印件加盖水龙头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2、水龙头依据GB/T 1034-2008标准，检测吸水率，将试样浸泡在（23±2）℃蒸馏水24h后取出，控去表面水分，1min内完成称重，结果≤0.25%。（投标时，提供CMA和CNAS检测机构出具的检验报告复印件，复印件加盖水龙头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3、水龙头依据Cu：YS/T 910-2013标准测试方法，检测水龙头阀芯铜含量化学成分，结果≥61.3Cu(w/%)。（投标时，提供CMA和CNAS检测机构出具的检验报告复印件，复印件加盖水龙头生产厂家鲜章，原件备查。）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4、水龙头耐污染性能：依据GB/T 17657-2022《人造板及饰面人造板理化性能试验方法》标准，同一份检测报告需包含N,N-二甲基甲酰胺、N-甲基吡咯烷酮、N-甲基甲酰胺、氨水（氢氧化铵）、苯胺黑（水溶）、冰醋酸、丙二醇甲醚、丙酮、丙烯晴、1，2-丙二醇、1-乙氧基-2-丙醇，丙二醇乙醚、2，3，5-三氯苯胺、2-苯乙醇、2-甲氧基乙醇（特纯）、2-乙氧基乙醇、40%氢氟酸、二硫化碳、二氯甲烷、二氯乙酸、二乙二醇单丁醚、二乙二醇丁醚醋酸酯、二正丁胺（1601）、酚酞、铬酸、亚硝酸、流化钠、甲醛、甲酚红乙醇0.1%、环己酮等至少158种有机、无机试剂，覆盖/未覆盖玻璃盖板，检验结果均为5级（无明显变化）。（投标时，提供CMA和CNAS检测机构出具的检验报告复印件，复印件加盖水龙头生产厂家鲜章，原件备查。）</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6F9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DBD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9</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77AFA7">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6DAB54">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760B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8BC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7A2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水槽水嘴-2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78D8">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润旺达、科恩</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6A6C">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1、规格：外尺寸：900*520*395   内尺寸：825*445*300  ；</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2、材质与技术要求跟水槽水嘴-1一致。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CCF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BFF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6</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3E52DF">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27CF9F">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07741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656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951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滴水架</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26E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润旺达、科恩</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33C0">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1、滴水架选用高品质PP材质，强度高，易于组装，耐酸碱、抗腐蚀。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2、尺寸：550*400</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3、滴水架配置背板。</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4、滴水棒均以35度-45度仰角安装，以方便器皿稳固吊放，采用PP材质一次成型，可拆卸，具有锁扣功能，方便使用。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5、滴水架底部应有向排水孔倾斜的排水槽设计以方便集水，迅速排水。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344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0E6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9</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6BBFF3">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24456E">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453F8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B3C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093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台式单口洗眼器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A2C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润旺达、科恩</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B130">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1、主体为加厚铜质。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2、表面为环氧树脂涂层， 耐腐蚀、耐弱酸、碱、盐溶液，防紫外线辐射。</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3、橡胶杯：Φ70橡胶质护杯，出水经缓压处理呈泡沫状水柱,防止冲伤眼睛，以避免紧急使用时瞬间接触眼部造成碰撞二次伤害。</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4、防尘盖: PP材质,平常可防尘，使用时可随时被水冲开，并降低突然时短暂的高水压，防止冲伤眼睛，防尘盖有连接于护罩可防尘脱落，使用时自动被水冲开。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5、水流锁定开关:水流开启,水流锁定功能一次完成,方便使用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6、软管：供水软管长度 1.5米，软性 PVC 管外覆不锈钢网,外层包裹PE管，有效防止生锈、磨损、划手。</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7、前置过滤器和流量调节装置：前置过滤器可去除管道内产生的沉淀杂质和细菌、微生物残骸、铁锈、泥沙等大于5微米以上的颗粒杂质；流量调节装置可任意调节水压大小，避免因水压过大冲伤眼睛和面部肌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527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6BC9">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BF2E8A">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6C1C3E">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45E81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3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40F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08E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试剂柜</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BFB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2693">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1、全钢结构，规格900*450*1800mm，耐划、耐酸碱，抗腐蚀性好，玻璃柜门，配置柜锁。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2、柜体说明：采用 1.0mm 优质镀锌钢板在数控加工中心、剪裁、定位打孔、折弯焊接后成型，经除尘，除油后喷涂环氧树脂粉末高温烘烤固化。附着力高、表面硬度耐腐蚀性极强，外形美观。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3、柜门说明：采用 1.0mm 优质镀锌钢板，柜门为双层，无焊连接可拆卸带减震垫柜门为上下双开门，上门配置为全钢加玻璃门两者的组合。下门为钢制门。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4、层板说明：层板采用 1.0mm 优质镀锌钢板在数控加工中心、剪裁、定位打孔、折弯焊接后成型，需经除尘，除油后喷涂环氧树脂粉末高温烘烤固化。上柜2层下柜1层层板，层高可以自由调节 。                                                                                                                     5、配件：配置开合110°铰链，外形美观，开合时无噪音 ；采用96拉手，耐腐蚀，经久耐用。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34D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D2E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25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61F836">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7788B7">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0B396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2C1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33</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8D3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不锈钢水槽台</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439F">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定制</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59D7">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规格：2000*750*850mm，304不锈钢材质，配4个普通水龙头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80E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D5E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61E43F">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E931EB">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2A364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21F4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34</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345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教师凳</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54DC">
            <w:pPr>
              <w:keepNext w:val="0"/>
              <w:keepLines w:val="0"/>
              <w:widowControl/>
              <w:suppressLineNumbers w:val="0"/>
              <w:jc w:val="both"/>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中信、马头、科劲</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B50D0">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r>
              <w:rPr>
                <w:rFonts w:ascii="Arial" w:hAnsi="Arial" w:eastAsia="黑体" w:cs="Arial"/>
                <w:i w:val="0"/>
                <w:iCs w:val="0"/>
                <w:color w:val="000000"/>
                <w:kern w:val="0"/>
                <w:sz w:val="21"/>
                <w:szCs w:val="21"/>
                <w:u w:val="none"/>
                <w:lang w:val="en-US" w:eastAsia="zh-CN" w:bidi="ar"/>
              </w:rPr>
              <w:t xml:space="preserve"> </w:t>
            </w:r>
            <w:r>
              <w:rPr>
                <w:rFonts w:hint="eastAsia" w:ascii="黑体" w:hAnsi="宋体" w:eastAsia="黑体" w:cs="黑体"/>
                <w:i w:val="0"/>
                <w:iCs w:val="0"/>
                <w:color w:val="000000"/>
                <w:kern w:val="0"/>
                <w:sz w:val="21"/>
                <w:szCs w:val="21"/>
                <w:u w:val="none"/>
                <w:lang w:val="en-US" w:eastAsia="zh-CN" w:bidi="ar"/>
              </w:rPr>
              <w:t>整体定位：经济型教师办公椅，风格为现代极简，适用于日常教学及办公场景。</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w:t>
            </w:r>
            <w:r>
              <w:rPr>
                <w:rFonts w:ascii="Arial" w:hAnsi="Arial" w:eastAsia="黑体" w:cs="Arial"/>
                <w:i w:val="0"/>
                <w:iCs w:val="0"/>
                <w:color w:val="000000"/>
                <w:kern w:val="0"/>
                <w:sz w:val="21"/>
                <w:szCs w:val="21"/>
                <w:u w:val="none"/>
                <w:lang w:val="en-US" w:eastAsia="zh-CN" w:bidi="ar"/>
              </w:rPr>
              <w:t xml:space="preserve"> </w:t>
            </w:r>
            <w:r>
              <w:rPr>
                <w:rFonts w:hint="eastAsia" w:ascii="黑体" w:hAnsi="宋体" w:eastAsia="黑体" w:cs="黑体"/>
                <w:i w:val="0"/>
                <w:iCs w:val="0"/>
                <w:color w:val="000000"/>
                <w:kern w:val="0"/>
                <w:sz w:val="21"/>
                <w:szCs w:val="21"/>
                <w:u w:val="none"/>
                <w:lang w:val="en-US" w:eastAsia="zh-CN" w:bidi="ar"/>
              </w:rPr>
              <w:t>承重性能：最大承重≥120kg，结构安全稳定。</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w:t>
            </w:r>
            <w:r>
              <w:rPr>
                <w:rFonts w:ascii="Arial" w:hAnsi="Arial" w:eastAsia="黑体" w:cs="Arial"/>
                <w:i w:val="0"/>
                <w:iCs w:val="0"/>
                <w:color w:val="000000"/>
                <w:kern w:val="0"/>
                <w:sz w:val="21"/>
                <w:szCs w:val="21"/>
                <w:u w:val="none"/>
                <w:lang w:val="en-US" w:eastAsia="zh-CN" w:bidi="ar"/>
              </w:rPr>
              <w:t xml:space="preserve"> </w:t>
            </w:r>
            <w:r>
              <w:rPr>
                <w:rFonts w:hint="eastAsia" w:ascii="黑体" w:hAnsi="宋体" w:eastAsia="黑体" w:cs="黑体"/>
                <w:i w:val="0"/>
                <w:iCs w:val="0"/>
                <w:color w:val="000000"/>
                <w:kern w:val="0"/>
                <w:sz w:val="21"/>
                <w:szCs w:val="21"/>
                <w:u w:val="none"/>
                <w:lang w:val="en-US" w:eastAsia="zh-CN" w:bidi="ar"/>
              </w:rPr>
              <w:t>座高调节范围：41cm-49cm，适配不同身高教师使用需求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w:t>
            </w:r>
            <w:r>
              <w:rPr>
                <w:rFonts w:ascii="Arial" w:hAnsi="Arial" w:eastAsia="黑体" w:cs="Arial"/>
                <w:i w:val="0"/>
                <w:iCs w:val="0"/>
                <w:color w:val="000000"/>
                <w:kern w:val="0"/>
                <w:sz w:val="21"/>
                <w:szCs w:val="21"/>
                <w:u w:val="none"/>
                <w:lang w:val="en-US" w:eastAsia="zh-CN" w:bidi="ar"/>
              </w:rPr>
              <w:t xml:space="preserve"> </w:t>
            </w:r>
            <w:r>
              <w:rPr>
                <w:rFonts w:hint="eastAsia" w:ascii="黑体" w:hAnsi="宋体" w:eastAsia="黑体" w:cs="黑体"/>
                <w:i w:val="0"/>
                <w:iCs w:val="0"/>
                <w:color w:val="000000"/>
                <w:kern w:val="0"/>
                <w:sz w:val="21"/>
                <w:szCs w:val="21"/>
                <w:u w:val="none"/>
                <w:lang w:val="en-US" w:eastAsia="zh-CN" w:bidi="ar"/>
              </w:rPr>
              <w:t>材质配置：- 坐垫材质：采用高弹网布材质，透气耐磨，久坐不易变形；头枕类型：配备标准头枕，可辅助支撑颈部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w:t>
            </w:r>
            <w:r>
              <w:rPr>
                <w:rFonts w:ascii="Arial" w:hAnsi="Arial" w:eastAsia="黑体" w:cs="Arial"/>
                <w:i w:val="0"/>
                <w:iCs w:val="0"/>
                <w:color w:val="000000"/>
                <w:kern w:val="0"/>
                <w:sz w:val="21"/>
                <w:szCs w:val="21"/>
                <w:u w:val="none"/>
                <w:lang w:val="en-US" w:eastAsia="zh-CN" w:bidi="ar"/>
              </w:rPr>
              <w:t xml:space="preserve"> </w:t>
            </w:r>
            <w:r>
              <w:rPr>
                <w:rFonts w:hint="eastAsia" w:ascii="黑体" w:hAnsi="宋体" w:eastAsia="黑体" w:cs="黑体"/>
                <w:i w:val="0"/>
                <w:iCs w:val="0"/>
                <w:color w:val="000000"/>
                <w:kern w:val="0"/>
                <w:sz w:val="21"/>
                <w:szCs w:val="21"/>
                <w:u w:val="none"/>
                <w:lang w:val="en-US" w:eastAsia="zh-CN" w:bidi="ar"/>
              </w:rPr>
              <w:t>其他要求：产品需符合国家相关办公家具安全标准，提供完整的质量合格证明文件。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F5A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张</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B80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F15A5A">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A31D59">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47495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9"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831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35</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550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紧急冲淋洗眼器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CEA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润旺达、科恩</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1D8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1、符合GB/T 38144.1-2019《眼面部防护 应急喷淋和洗眼设备》标准。</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2、主体材料：304不锈钢材质。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3、主管：管路直径≥38mm，壁厚≥2mm，管道表面为环氧树脂涂层。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4、洗眼盆：采用优质不锈钢材质，直径≥300mm。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5、冲淋洗眼器结构为《一种定向快速接头》连接方式，能够快速的装配，优越的洗眼器材质和焊接工艺，抗腐蚀性能：可以抗酸、碱、盐和油类及强腐蚀化学品物质的腐蚀，性能良好。</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6、配备喷淋系统和洗眼系统。当受伤者身体上或者服装上遭受化学品物质喷溅时，使用洗眼器喷淋系统进行大水量冲洗；当化学品物质喷溅到工作人员面部、眼部、脖子或者手臂等部位时，使用洗眼器的洗眼系统进行冲洗。冲洗时间不得小于 15 分钟。                                                     ▲7、紧急冲淋洗眼器需提供以下报告：</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(1)、洗眼器用Y型过滤器依据GB/T 8464-2023《铁制、钢制和不锈钢制螺纹连接阀门》标准，检测壳体强度，金属物析出、密封性能，抗扭性能：扭矩≥160N、抗弯性能：弯曲力≥470N。（投标时须提供国家认可的带有CNAS和CMA第三方权威机构检测报告复印件，复印件加盖公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(2)、洗眼器球阀依据GB/T 8464-2023《铁制、钢制和不锈钢制螺纹连接阀门》标准, 检测壳体强度、抗扭性能、抗弯性能、金属物析出。（投标时须提供国家认可的带有CNAS和CMA第三方权威机构检测报告复印件，复印件加盖公章，原件备查。）</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(3)、洗眼器用螺栓依据SN/T 2718-2010、GB/T 20123-2006、 YB/T 4396-2014标准，检测化学成分：Cr（铬）≥18%、Mn（锰）≤0.8%、Ni（镍）≥8%、Si（硅）≤0.5%、C（碳）≤0.03%、S（硫）＜0.005%，符合标准要求。（投标时须提供CNAS和CMA国家认可的第三方权威机构出具的检测报告复印件，复印件加盖公章，原件备查）。</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025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套</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A98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0D3E7F">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1501F9">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5DEC0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D3B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36</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EAF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储物柜</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CB1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5A09">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1、全钢结构，规格900*450*1800mm，耐划、耐酸碱，抗腐蚀性好，玻璃柜门，配置柜锁。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2、柜体说明：采用 1.0mm 优质镀锌钢板在数控加工中心、剪裁、定位打孔、折弯焊接后成型，经除尘，除油后喷涂环氧树脂粉末高温烘烤固化。附着力高、表面硬度耐腐蚀性极强，外形美观。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3、柜门说明：采用 1.0mm 优质镀锌钢板，柜门为双层，无焊连接可拆卸带减震垫柜门为上下双开门，上门配置为全钢加玻璃门两者的组合。下门为钢制门。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4、层板说明：层板采用 1.0mm 优质镀锌钢板在数控加工中心、剪裁、定位打孔、折弯焊接后成型，需经除尘，除油后喷涂环氧树脂粉末高温烘烤固化。上柜2层下柜1层层板，层高可以自由调节 。                                                                                                                     5、配件：配置开合110°铰链，外形美观，开合时无噪音 ；采用96拉手，耐腐蚀，经久耐用。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1788">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3DD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5</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00F252">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4C1DDF">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50504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CFE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37</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D3D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收纳柜 （无柜门）</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5FC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4036">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1、全钢结构，规格900*450*1800mm，耐划、耐酸碱，抗腐蚀性好，玻璃柜门，配置柜锁。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2、柜体说明：采用 1.0mm 优质镀锌钢板在数控加工中心、剪裁、定位打孔、折弯焊接后成型，经除尘，除油后喷涂环氧树脂粉末高温烘烤固化。附着力高、表面硬度耐腐蚀性极强，外形美观。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3、柜门说明：无。</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4、层板说明：层板采用 1.0mm 优质镀锌钢板在数控加工中心、剪裁、定位打孔、折弯焊接后成型，需经除尘，除油后喷涂环氧树脂粉末高温烘烤固化 。                                                                                                                     5、配件：配置开合110°铰链，外形美观，开合时无噪音 ；采用96拉手，耐腐蚀，经久耐用。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BB4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0B0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C0C665">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69627B">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7F980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551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38</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475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全钢试剂存储柜（分区独立式）</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491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一区科技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广东鼎诚</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广州诺驰自控</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88D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 柜体硬件结构及配套配置参数（含安装、调试、入网调试服务）</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  规格尺寸：柜体尺寸不小于高2000mm×宽1000mm×厚500mm，落地式全钢柜体，结构稳固，适用于实验室试剂分类存储。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1.2 柜体材质：柜体采用双层结构，采用≥1.2mm冷轧钢板制作；柜身设静电接地传导端口，方便连接静电接地导线。</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1.3 ▲存储分区：存储区不少于4个，存储区互为独立存储空间；存储区内采用PP材质，可存储互为禁忌的化学品；至少有3个存储分区需包含两层存储空间，且其中一层为可活动层板，每层存储净高度≥24cm。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1.4 通风接口：柜体顶部开≥75mm通风口，可接入通风系统。</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1.5 ▲智能锁具：柜体需配备智能锁，锁舌需可耐酸碱气体腐蚀（提供锁舌抗腐蚀方案，提供实机图片证明）。</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1.6 刷卡解锁：每个存储区的智能锁均配备刷卡模块，可使用校园卡进行解锁操作；柜体整体断电的情况下，依然可以进行刷卡解锁。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1.7 ▲应急解锁：支持在断电、主结构损坏情况下对智能锁进行应急解锁，且应急解锁支持自动记录解锁人身份信息、解锁时间（提供应急解锁自动记录用户身份信息功能说明）。</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1.8 双锁模式：可设置单锁/双锁模式；双锁模式需要识别两位不同身份的用户的IC卡/人脸方可解锁；每一把智能锁配备刷卡模块，可独立刷卡解锁。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1.9 ▲防爆要求：智能锁需符合GB/T3836.1-2021《爆炸性环境第1部分：设备通用要求》和GB/T3836.4-2021《爆炸性环境第4部分：由本质安全型“i”保护的设备》要求（提供第三方检测机构出具的产品防爆合格证）。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1.10 ▲防强磁、防强电场要求：智能锁需提供防强磁技术开启试验和防强电场技术开启试验检测报告，证明智能锁具备在5000高斯的强磁场作用下和在50V/m强电场的作用下，智能锁均不会出现开启现象（提供公安部检测机构盖CMA、CNAS双章认证报告，报告可在国家市场监督管理总局全国认证认可信息公共服务平台可查，提供该平台的报告编号查询截图，编号需与上述报告一致）。</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1.11 ▲二维码识别模块：配备二维码识别模块，二维码识别模块自带补光光源，可在光线不足条件下提供补光以完成扫码操作，扫码成功后并伴随蜂鸣声确认；集成刷卡模块，支持身份证、NFC手机、非接触式IC卡、M1感应卡等（读取物理ID）识别（提供二维码识别模块在实机上的图片和二维码模块的产品说明书）。</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1.12 人脸识别：柜体配备双目摄像头，支持人脸识别解锁，可识别戴口罩人脸，解锁后记录解锁人影像信息。</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1.13 称重模块：柜体配备称重模块，称重面积≥390×275mm；称重模块量程≥10kg，称重精度不小于1g。</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1.14 触控屏幕：柜体需配备触控屏幕，屏幕尺寸≥15.6寸，分辨率≥1920×1080。</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1.15 标签打印：配备热转印标签打印机，最大打印宽度108mm，最大打印速度101mm/s；配备自动切刀，可自动分离已打印完毕的标签，最大切割宽度120mm。</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1.16 网络流量：配备3年网络流量，可为智能柜提供互联网连接能力。</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 系统功能参数</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2.1 权限管理：系统支持多级权限管理，支持按照学校级、学院级、实验室级、普通用户级架构进行人员权限设置；支持自定义管理员角色，满足校级管理员、院级管理员、实验室管理员等基本角色权限；支持对角色信息自定义权限，选择是否赋予相关角色对应权限。</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2.2 入库登记：系统支持入库登记功能，管制类化学品在学校级仓库的入库记录可关联不少于4人，包含两位操作用户和两位仓管员。</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2.3 使用登记方式：系统需提供3种化学品使用登记方式：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2.3.1 领用：领用的化学品需在当日0点前归还至领用处，且需登记本次领用的使用量，形成使用台账；</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2.3.2 出库：入库的化学品登记为出库状态后，不需要再归还，系统直接从出库的实验室或仓库扣减已出库的化学品库存，形成出库台账；</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2.3.3 移库：移库的化学品需选择需要转移的目的实验室，化学品登记为移库状态后，需在到达新实验室后，再次称重进行入库，化学品库存从原有实验室转移至新实验室，形成移库台账。</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2.4 管控标记：系统可按国家管控要求自动标记化学品的类型，包含剧毒品、麻醉药品、精神药品、易制毒、易制爆、其它化学品、普通化学品。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2.5 库存分析：系统提供库存数据智能分析功能，可按单个用户的需求自定义库存统计维度，例如按化学品名统计、按化学品名+规格统计、按化学品+纯度+等级+规格统计。</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2.6 分类统计：系统可按时间段统计各类型化学品（2.4描述项）的入库数量、入库总量、领用次数、领用总量、出库数量、出库总量、报废数量、报废总量、总消耗量（领用+出库+报废）、库存数量、库存总量、库存盈亏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2.7 单品统计：系统可按时间段统计各化学品的入库数量、入库总量、领用次数、领用总量、出库数量、出库总量、报废数量、报废总量、总消耗量（领用+出库+报废）、库存数量、库存总量、库存盈亏量。</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2.8 库存盘点：系统需提供库存盘点功能，实验室管理员级用户可任意选择任一分区的化学品进行盘点，校准每一瓶化学品的剩余量；化学品在盘库中产生的盈亏量不计入任意用户的化学品使用量，仅作为盘库记录进行记录。</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038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51F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A92DF4">
            <w:pPr>
              <w:rPr>
                <w:rFonts w:hint="eastAsia" w:ascii="宋体" w:hAnsi="宋体" w:eastAsia="宋体" w:cs="宋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4ABAD8">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2716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5"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631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39</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53F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全钢试剂储物副柜</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8B1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一区科技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广东鼎诚</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广州诺驰自控</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294C">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1、全钢结构，规格900*450*1800mm，耐划、耐酸碱，抗腐蚀性好，玻璃柜门，配置柜锁。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2、柜体说明：采用 1.0mm 优质镀锌钢板在数控加工中心、剪裁、定位打孔、折弯焊接后成型，经除尘，除油后喷涂环氧树脂粉末高温烘烤固化。附着力高、表面硬度耐腐蚀性极强，外形美观。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3、柜门说明：采用 1.0mm 优质镀锌钢板，柜门为双层，无焊连接可拆卸带减震垫柜门为上下双开门，上门配置为全钢加玻璃门两者的组合。下门为钢制门。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4、层板说明：层板采用 1.0mm 优质镀锌钢板在数控加工中心、剪裁、定位打孔、折弯焊接后成型，需经除尘，除油后喷涂环氧树脂粉末高温烘烤固化。上柜2层下柜1层层板，层高可以自由调节 。                                                                                                                     5、配件：配置开合110°铰链，外形美观，开合时无噪音 ；采用96拉手，耐腐蚀，经久耐用。                                                         6、 ▲柜体需配备智能锁，锁舌需可耐酸碱气体腐蚀（提供锁舌抗腐蚀方案，提供实机图片证明）；</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7、每个存储区的智能锁均配备刷卡模块，可使用校园卡进行解锁操作，柜体整体断电的情况下，依然可以进行刷卡解锁；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8、▲支持在断电，主结构损坏情况下对智能锁进行应急解锁，且应急解锁支持自动记录解锁人身份信息、解锁时间。（提供应急解锁自动记录用户身份信息功能说明）。</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9、可设置单锁/双锁模式，双锁模式需要识别两位不同身份的用户的IC卡/人脸方可解锁，每一把智能锁配备刷卡模块，可独立刷卡解锁；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10、▲智能锁需符合GB/T3836.1-2021《爆炸性环境第1部分：设备通用要求》和GB/T3836.4-2021《爆炸性环境第4部分：由本质安全型“i”保护的设备》要求；</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（提供第三方检测机构出具的产品防爆合格证）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11、▲智能锁需提供的防强磁技术开启试验和防强电场技术开启试验检测报告、证明智能锁具备在5000高斯的强磁场作用下和在50V/m强电场的作用下，智能锁均不会出现开启现象；</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（提供公安部检测机构盖CMA、CNAS双章认证报告，报告可在国家市场监督管理总局全国认证认可信息公共服务平台可查，提供该平台的报告编号查询截图，编号需与上述报告一致）。</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4962">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57ED">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9704EA">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690826">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287F2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3"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1A93">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40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E1F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微波光氧净气型药品柜</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3515">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君研、毕恩思、格润</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5CB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1.柜体尺寸：外尺寸</w:t>
            </w:r>
            <w:r>
              <w:rPr>
                <w:rFonts w:hint="default" w:ascii="Times New Roman" w:hAnsi="Times New Roman" w:eastAsia="黑体" w:cs="Times New Roman"/>
                <w:i w:val="0"/>
                <w:iCs w:val="0"/>
                <w:color w:val="000000"/>
                <w:kern w:val="0"/>
                <w:sz w:val="21"/>
                <w:szCs w:val="21"/>
                <w:u w:val="none"/>
                <w:lang w:val="en-US" w:eastAsia="zh-CN" w:bidi="ar"/>
              </w:rPr>
              <w:t>‌</w:t>
            </w:r>
            <w:r>
              <w:rPr>
                <w:rFonts w:hint="eastAsia" w:ascii="黑体" w:hAnsi="宋体" w:eastAsia="黑体" w:cs="黑体"/>
                <w:i w:val="0"/>
                <w:iCs w:val="0"/>
                <w:color w:val="000000"/>
                <w:kern w:val="0"/>
                <w:sz w:val="21"/>
                <w:szCs w:val="21"/>
                <w:u w:val="none"/>
                <w:lang w:val="en-US" w:eastAsia="zh-CN" w:bidi="ar"/>
              </w:rPr>
              <w:t>≥900*450*2100MM，层板</w:t>
            </w:r>
            <w:r>
              <w:rPr>
                <w:rFonts w:hint="default" w:ascii="Times New Roman" w:hAnsi="Times New Roman" w:eastAsia="黑体" w:cs="Times New Roman"/>
                <w:i w:val="0"/>
                <w:iCs w:val="0"/>
                <w:color w:val="000000"/>
                <w:kern w:val="0"/>
                <w:sz w:val="21"/>
                <w:szCs w:val="21"/>
                <w:u w:val="none"/>
                <w:lang w:val="en-US" w:eastAsia="zh-CN" w:bidi="ar"/>
              </w:rPr>
              <w:t>‌</w:t>
            </w:r>
            <w:r>
              <w:rPr>
                <w:rFonts w:hint="eastAsia" w:ascii="黑体" w:hAnsi="宋体" w:eastAsia="黑体" w:cs="黑体"/>
                <w:i w:val="0"/>
                <w:iCs w:val="0"/>
                <w:color w:val="000000"/>
                <w:kern w:val="0"/>
                <w:sz w:val="21"/>
                <w:szCs w:val="21"/>
                <w:u w:val="none"/>
                <w:lang w:val="en-US" w:eastAsia="zh-CN" w:bidi="ar"/>
              </w:rPr>
              <w:t>≥5块，显示屏</w:t>
            </w:r>
            <w:r>
              <w:rPr>
                <w:rFonts w:hint="default" w:ascii="Times New Roman" w:hAnsi="Times New Roman" w:eastAsia="黑体" w:cs="Times New Roman"/>
                <w:i w:val="0"/>
                <w:iCs w:val="0"/>
                <w:color w:val="000000"/>
                <w:kern w:val="0"/>
                <w:sz w:val="21"/>
                <w:szCs w:val="21"/>
                <w:u w:val="none"/>
                <w:lang w:val="en-US" w:eastAsia="zh-CN" w:bidi="ar"/>
              </w:rPr>
              <w:t>‌</w:t>
            </w:r>
            <w:r>
              <w:rPr>
                <w:rFonts w:hint="eastAsia" w:ascii="黑体" w:hAnsi="宋体" w:eastAsia="黑体" w:cs="黑体"/>
                <w:i w:val="0"/>
                <w:iCs w:val="0"/>
                <w:color w:val="000000"/>
                <w:kern w:val="0"/>
                <w:sz w:val="21"/>
                <w:szCs w:val="21"/>
                <w:u w:val="none"/>
                <w:lang w:val="en-US" w:eastAsia="zh-CN" w:bidi="ar"/>
              </w:rPr>
              <w:t>≥7英寸；柜体：采用不少于1.0mm厚冷轧钢板冲折焊接制作，全钢结构，表面酸洗磷化再经环氧树脂静电粉末喷涂，喷涂厚度≥75μm。视窗采用高品质钢化玻璃。</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2.MOC自净技术路线</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 净气型药品柜须内置 MOC微波光氧裂解自净技术，采用 185nm 无极灯管产生 646.4 kJ/mol 光子能量，结合微波高频振荡及羟基、羧基活性基团，裂解污染物分子键，最终生成 H</w:t>
            </w:r>
            <w:r>
              <w:rPr>
                <w:rFonts w:hint="default" w:ascii="Times New Roman" w:hAnsi="Times New Roman" w:eastAsia="黑体" w:cs="Times New Roman"/>
                <w:i w:val="0"/>
                <w:iCs w:val="0"/>
                <w:color w:val="000000"/>
                <w:kern w:val="0"/>
                <w:sz w:val="21"/>
                <w:szCs w:val="21"/>
                <w:u w:val="none"/>
                <w:lang w:val="en-US" w:eastAsia="zh-CN" w:bidi="ar"/>
              </w:rPr>
              <w:t>₂</w:t>
            </w:r>
            <w:r>
              <w:rPr>
                <w:rFonts w:hint="eastAsia" w:ascii="黑体" w:hAnsi="宋体" w:eastAsia="黑体" w:cs="黑体"/>
                <w:i w:val="0"/>
                <w:iCs w:val="0"/>
                <w:color w:val="000000"/>
                <w:kern w:val="0"/>
                <w:sz w:val="21"/>
                <w:szCs w:val="21"/>
                <w:u w:val="none"/>
                <w:lang w:val="en-US" w:eastAsia="zh-CN" w:bidi="ar"/>
              </w:rPr>
              <w:t>O、CO</w:t>
            </w:r>
            <w:r>
              <w:rPr>
                <w:rFonts w:hint="default" w:ascii="Times New Roman" w:hAnsi="Times New Roman" w:eastAsia="黑体" w:cs="Times New Roman"/>
                <w:i w:val="0"/>
                <w:iCs w:val="0"/>
                <w:color w:val="000000"/>
                <w:kern w:val="0"/>
                <w:sz w:val="21"/>
                <w:szCs w:val="21"/>
                <w:u w:val="none"/>
                <w:lang w:val="en-US" w:eastAsia="zh-CN" w:bidi="ar"/>
              </w:rPr>
              <w:t>₂</w:t>
            </w:r>
            <w:r>
              <w:rPr>
                <w:rFonts w:hint="eastAsia" w:ascii="黑体" w:hAnsi="宋体" w:eastAsia="黑体" w:cs="黑体"/>
                <w:i w:val="0"/>
                <w:iCs w:val="0"/>
                <w:color w:val="000000"/>
                <w:kern w:val="0"/>
                <w:sz w:val="21"/>
                <w:szCs w:val="21"/>
                <w:u w:val="none"/>
                <w:lang w:val="en-US" w:eastAsia="zh-CN" w:bidi="ar"/>
              </w:rPr>
              <w:t>、N</w:t>
            </w:r>
            <w:r>
              <w:rPr>
                <w:rFonts w:hint="default" w:ascii="Times New Roman" w:hAnsi="Times New Roman" w:eastAsia="黑体" w:cs="Times New Roman"/>
                <w:i w:val="0"/>
                <w:iCs w:val="0"/>
                <w:color w:val="000000"/>
                <w:kern w:val="0"/>
                <w:sz w:val="21"/>
                <w:szCs w:val="21"/>
                <w:u w:val="none"/>
                <w:lang w:val="en-US" w:eastAsia="zh-CN" w:bidi="ar"/>
              </w:rPr>
              <w:t>₂</w:t>
            </w:r>
            <w:r>
              <w:rPr>
                <w:rFonts w:hint="eastAsia" w:ascii="黑体" w:hAnsi="宋体" w:eastAsia="黑体" w:cs="黑体"/>
                <w:i w:val="0"/>
                <w:iCs w:val="0"/>
                <w:color w:val="000000"/>
                <w:kern w:val="0"/>
                <w:sz w:val="21"/>
                <w:szCs w:val="21"/>
                <w:u w:val="none"/>
                <w:lang w:val="en-US" w:eastAsia="zh-CN" w:bidi="ar"/>
              </w:rPr>
              <w:t>、SO</w:t>
            </w:r>
            <w:r>
              <w:rPr>
                <w:rFonts w:hint="default" w:ascii="Times New Roman" w:hAnsi="Times New Roman" w:eastAsia="黑体" w:cs="Times New Roman"/>
                <w:i w:val="0"/>
                <w:iCs w:val="0"/>
                <w:color w:val="000000"/>
                <w:kern w:val="0"/>
                <w:sz w:val="21"/>
                <w:szCs w:val="21"/>
                <w:u w:val="none"/>
                <w:lang w:val="en-US" w:eastAsia="zh-CN" w:bidi="ar"/>
              </w:rPr>
              <w:t>₄</w:t>
            </w:r>
            <w:r>
              <w:rPr>
                <w:rFonts w:hint="eastAsia" w:ascii="宋体" w:hAnsi="宋体" w:eastAsia="宋体" w:cs="宋体"/>
                <w:i w:val="0"/>
                <w:iCs w:val="0"/>
                <w:color w:val="000000"/>
                <w:kern w:val="0"/>
                <w:sz w:val="21"/>
                <w:szCs w:val="21"/>
                <w:u w:val="none"/>
                <w:lang w:val="en-US" w:eastAsia="zh-CN" w:bidi="ar"/>
              </w:rPr>
              <w:t>²</w:t>
            </w:r>
            <w:r>
              <w:rPr>
                <w:rFonts w:hint="default" w:ascii="Times New Roman" w:hAnsi="Times New Roman" w:eastAsia="黑体" w:cs="Times New Roman"/>
                <w:i w:val="0"/>
                <w:iCs w:val="0"/>
                <w:color w:val="000000"/>
                <w:kern w:val="0"/>
                <w:sz w:val="21"/>
                <w:szCs w:val="21"/>
                <w:u w:val="none"/>
                <w:lang w:val="en-US" w:eastAsia="zh-CN" w:bidi="ar"/>
              </w:rPr>
              <w:t>⁻</w:t>
            </w:r>
            <w:r>
              <w:rPr>
                <w:rFonts w:hint="eastAsia" w:ascii="黑体" w:hAnsi="宋体" w:eastAsia="黑体" w:cs="黑体"/>
                <w:i w:val="0"/>
                <w:iCs w:val="0"/>
                <w:color w:val="000000"/>
                <w:kern w:val="0"/>
                <w:sz w:val="21"/>
                <w:szCs w:val="21"/>
                <w:u w:val="none"/>
                <w:lang w:val="en-US" w:eastAsia="zh-CN" w:bidi="ar"/>
              </w:rPr>
              <w:t>等无害物质。不得以单一活性炭吸附、普通滤芯过滤或普通UV光解替代。</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3.处理对象范围</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 MOC 模块应支持处理不少于 14类复杂及混合型废气，包括苯、甲苯、二甲苯、苯乙烯、苯酚、甲醇、乙醛、乙酸乙酯、甲硫醚、甲硫醇、氨、硫化氢、苯胺等，适用于净气型药品柜内挥发及混合废气的持续自净。</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▲4. 处理效率与浓度目标</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 MOC 模块按有机废气处理效率 ≥95% 设计，供应商投标时需提供技术承诺函；项目验收阶段，采购人可根据需要，要求提供由指定检测机构出具的对应指标第三方检测报告。</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5.核心部件寿命与免耗材</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 MOC 核心光源即 185nm 无极灯管，设计寿命 60,000 小时（约6.8年），设备整体设计寿命 8–10年，免耗材、无滤芯更换。PLC 应具备灯管累计计时、寿命预警和故障报警功能。</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6.模块化集成与 PLC 时序互锁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 MOC 模块须为装配式模块，可与净气型药品柜快速集成，支持后期维护、扩展和更换。PLC 须实现启动先通风、运行稳通风、停机后排风，杜绝高温积热，并实现风机、MOC模块、柜门、排风之间的时序互锁。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7.智能监控与安全联锁</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 净气型药品柜应配置 PLC 控制，具备 MOC 模块温度监测、灯管状态监测、风机联动、压差/VOC可选监测、柜门异常报警等功能。异常时自动加强排风并关闭或降功率运行 MOC 模块，确保安全。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▲8.整柜集成与运维</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 xml:space="preserve"> MOC 模块应与净气型药品柜风道、内腔、排风接口整体匹配设计，支持多柜并联、集中排风、远程运维和不停产维护。投标时需提供 MOC 原理说明、PLC 逻辑图、配置清单、技术承诺函。</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091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C5E6">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4E0F6">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0C3004">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1A47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2"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02E0">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41</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D1261">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货架</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EEDBE">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9DBF">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规格900*600*1800mm，全钢结构，耐划、耐酸碱，抗腐蚀性好，共分5层，采用1.0mm厚冷轧钢板冲折焊接制作，每层可负重30kg，层高不低于32公分。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78D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个</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AFA4">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12</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0253A1">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F3466F">
            <w:pPr>
              <w:rPr>
                <w:rFonts w:hint="eastAsia" w:ascii="宋体" w:hAnsi="宋体" w:eastAsia="宋体" w:cs="宋体"/>
                <w:i w:val="0"/>
                <w:iCs w:val="0"/>
                <w:color w:val="000000" w:themeColor="text1"/>
                <w:sz w:val="24"/>
                <w:szCs w:val="24"/>
                <w:u w:val="none"/>
                <w14:textFill>
                  <w14:solidFill>
                    <w14:schemeClr w14:val="tx1"/>
                  </w14:solidFill>
                </w14:textFill>
              </w:rPr>
            </w:pPr>
          </w:p>
        </w:tc>
      </w:tr>
      <w:tr w14:paraId="1B24C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1"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BBA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42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4B2B">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实验凳</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254F">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成威、卡迪诺、希亚</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B54C">
            <w:pPr>
              <w:keepNext w:val="0"/>
              <w:keepLines w:val="0"/>
              <w:widowControl/>
              <w:suppressLineNumbers w:val="0"/>
              <w:jc w:val="left"/>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1.</w:t>
            </w:r>
            <w:r>
              <w:rPr>
                <w:rFonts w:ascii="Arial" w:hAnsi="Arial" w:eastAsia="黑体" w:cs="Arial"/>
                <w:i w:val="0"/>
                <w:iCs w:val="0"/>
                <w:color w:val="000000"/>
                <w:kern w:val="0"/>
                <w:sz w:val="21"/>
                <w:szCs w:val="21"/>
                <w:u w:val="none"/>
                <w:lang w:val="en-US" w:eastAsia="zh-CN" w:bidi="ar"/>
              </w:rPr>
              <w:t xml:space="preserve"> </w:t>
            </w:r>
            <w:r>
              <w:rPr>
                <w:rFonts w:hint="eastAsia" w:ascii="黑体" w:hAnsi="宋体" w:eastAsia="黑体" w:cs="黑体"/>
                <w:i w:val="0"/>
                <w:iCs w:val="0"/>
                <w:color w:val="000000"/>
                <w:kern w:val="0"/>
                <w:sz w:val="21"/>
                <w:szCs w:val="21"/>
                <w:u w:val="none"/>
                <w:lang w:val="en-US" w:eastAsia="zh-CN" w:bidi="ar"/>
              </w:rPr>
              <w:t>整体规格：整体高度450mm，尺寸标准统一，外观规整，承重稳固，适配实验室教学常态化使用。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2.</w:t>
            </w:r>
            <w:r>
              <w:rPr>
                <w:rFonts w:ascii="Arial" w:hAnsi="Arial" w:eastAsia="黑体" w:cs="Arial"/>
                <w:i w:val="0"/>
                <w:iCs w:val="0"/>
                <w:color w:val="000000"/>
                <w:kern w:val="0"/>
                <w:sz w:val="21"/>
                <w:szCs w:val="21"/>
                <w:u w:val="none"/>
                <w:lang w:val="en-US" w:eastAsia="zh-CN" w:bidi="ar"/>
              </w:rPr>
              <w:t xml:space="preserve"> </w:t>
            </w:r>
            <w:r>
              <w:rPr>
                <w:rFonts w:hint="eastAsia" w:ascii="黑体" w:hAnsi="宋体" w:eastAsia="黑体" w:cs="黑体"/>
                <w:i w:val="0"/>
                <w:iCs w:val="0"/>
                <w:color w:val="000000"/>
                <w:kern w:val="0"/>
                <w:sz w:val="21"/>
                <w:szCs w:val="21"/>
                <w:u w:val="none"/>
                <w:lang w:val="en-US" w:eastAsia="zh-CN" w:bidi="ar"/>
              </w:rPr>
              <w:t>凳架材质：支架采用优质304不锈钢22mm方管制作，管材壁厚0.5mm，一体焊接成型，焊点打磨光滑无毛刺，防锈耐腐蚀、不易变形、承重力强，结实耐用。</w:t>
            </w:r>
            <w:r>
              <w:rPr>
                <w:rFonts w:hint="eastAsia" w:ascii="黑体" w:hAnsi="宋体" w:eastAsia="黑体" w:cs="黑体"/>
                <w:i w:val="0"/>
                <w:iCs w:val="0"/>
                <w:color w:val="000000"/>
                <w:kern w:val="0"/>
                <w:sz w:val="21"/>
                <w:szCs w:val="21"/>
                <w:u w:val="none"/>
                <w:lang w:val="en-US" w:eastAsia="zh-CN" w:bidi="ar"/>
              </w:rPr>
              <w:br w:type="textWrapping"/>
            </w:r>
            <w:r>
              <w:rPr>
                <w:rFonts w:hint="eastAsia" w:ascii="黑体" w:hAnsi="宋体" w:eastAsia="黑体" w:cs="黑体"/>
                <w:i w:val="0"/>
                <w:iCs w:val="0"/>
                <w:color w:val="000000"/>
                <w:kern w:val="0"/>
                <w:sz w:val="21"/>
                <w:szCs w:val="21"/>
                <w:u w:val="none"/>
                <w:lang w:val="en-US" w:eastAsia="zh-CN" w:bidi="ar"/>
              </w:rPr>
              <w:t>3.</w:t>
            </w:r>
            <w:r>
              <w:rPr>
                <w:rFonts w:ascii="Arial" w:hAnsi="Arial" w:eastAsia="黑体" w:cs="Arial"/>
                <w:i w:val="0"/>
                <w:iCs w:val="0"/>
                <w:color w:val="000000"/>
                <w:kern w:val="0"/>
                <w:sz w:val="21"/>
                <w:szCs w:val="21"/>
                <w:u w:val="none"/>
                <w:lang w:val="en-US" w:eastAsia="zh-CN" w:bidi="ar"/>
              </w:rPr>
              <w:t xml:space="preserve"> </w:t>
            </w:r>
            <w:r>
              <w:rPr>
                <w:rFonts w:hint="eastAsia" w:ascii="黑体" w:hAnsi="宋体" w:eastAsia="黑体" w:cs="黑体"/>
                <w:i w:val="0"/>
                <w:iCs w:val="0"/>
                <w:color w:val="000000"/>
                <w:kern w:val="0"/>
                <w:sz w:val="21"/>
                <w:szCs w:val="21"/>
                <w:u w:val="none"/>
                <w:lang w:val="en-US" w:eastAsia="zh-CN" w:bidi="ar"/>
              </w:rPr>
              <w:t>凳面配置：凳面选用20mm厚优质橡胶木实木，圆形设计，直径295mm，木质纹理均匀、打磨光滑无开裂、无结疤、无毛刺，环保无异味，坐感舒适，耐磨抗压。</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E9F7">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张</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1C7A">
            <w:pPr>
              <w:keepNext w:val="0"/>
              <w:keepLines w:val="0"/>
              <w:widowControl/>
              <w:suppressLineNumbers w:val="0"/>
              <w:jc w:val="center"/>
              <w:textAlignment w:val="center"/>
              <w:rPr>
                <w:rFonts w:hint="eastAsia" w:ascii="黑体" w:hAnsi="宋体" w:eastAsia="黑体" w:cs="黑体"/>
                <w:i w:val="0"/>
                <w:iCs w:val="0"/>
                <w:color w:val="000000" w:themeColor="text1"/>
                <w:sz w:val="21"/>
                <w:szCs w:val="21"/>
                <w:u w:val="none"/>
                <w14:textFill>
                  <w14:solidFill>
                    <w14:schemeClr w14:val="tx1"/>
                  </w14:solidFill>
                </w14:textFill>
              </w:rPr>
            </w:pPr>
            <w:r>
              <w:rPr>
                <w:rFonts w:hint="eastAsia" w:ascii="黑体" w:hAnsi="宋体" w:eastAsia="黑体" w:cs="黑体"/>
                <w:i w:val="0"/>
                <w:iCs w:val="0"/>
                <w:color w:val="000000"/>
                <w:kern w:val="0"/>
                <w:sz w:val="21"/>
                <w:szCs w:val="21"/>
                <w:u w:val="none"/>
                <w:lang w:val="en-US" w:eastAsia="zh-CN" w:bidi="ar"/>
              </w:rPr>
              <w:t>96</w:t>
            </w:r>
          </w:p>
        </w:tc>
        <w:tc>
          <w:tcPr>
            <w:tcW w:w="72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F1C837">
            <w:pPr>
              <w:rPr>
                <w:rFonts w:hint="eastAsia" w:ascii="黑体" w:hAnsi="宋体" w:eastAsia="黑体" w:cs="黑体"/>
                <w:i w:val="0"/>
                <w:iCs w:val="0"/>
                <w:color w:val="000000" w:themeColor="text1"/>
                <w:sz w:val="24"/>
                <w:szCs w:val="24"/>
                <w:u w:val="none"/>
                <w14:textFill>
                  <w14:solidFill>
                    <w14:schemeClr w14:val="tx1"/>
                  </w14:solidFill>
                </w14:textFill>
              </w:rPr>
            </w:pPr>
          </w:p>
        </w:tc>
        <w:tc>
          <w:tcPr>
            <w:tcW w:w="1093"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77409E">
            <w:pPr>
              <w:rPr>
                <w:rFonts w:hint="eastAsia" w:ascii="黑体" w:hAnsi="宋体" w:eastAsia="黑体" w:cs="黑体"/>
                <w:i w:val="0"/>
                <w:iCs w:val="0"/>
                <w:color w:val="000000" w:themeColor="text1"/>
                <w:sz w:val="24"/>
                <w:szCs w:val="24"/>
                <w:u w:val="none"/>
                <w14:textFill>
                  <w14:solidFill>
                    <w14:schemeClr w14:val="tx1"/>
                  </w14:solidFill>
                </w14:textFill>
              </w:rPr>
            </w:pPr>
          </w:p>
        </w:tc>
      </w:tr>
      <w:tr w14:paraId="5D6B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69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BF15E6">
            <w:pPr>
              <w:keepNext w:val="0"/>
              <w:keepLines w:val="0"/>
              <w:widowControl/>
              <w:suppressLineNumbers w:val="0"/>
              <w:jc w:val="left"/>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宋体" w:hAnsi="宋体"/>
                <w:b/>
                <w:bCs/>
                <w:color w:val="000000" w:themeColor="text1"/>
                <w:szCs w:val="21"/>
                <w14:textFill>
                  <w14:solidFill>
                    <w14:schemeClr w14:val="tx1"/>
                  </w14:solidFill>
                </w14:textFill>
              </w:rPr>
              <w:t>合计（大写：人民</w:t>
            </w:r>
            <w:r>
              <w:rPr>
                <w:rFonts w:hint="eastAsia" w:ascii="宋体" w:hAnsi="宋体"/>
                <w:b/>
                <w:bCs/>
                <w:color w:val="000000" w:themeColor="text1"/>
                <w:szCs w:val="21"/>
                <w:lang w:val="en-US" w:eastAsia="zh-CN"/>
                <w14:textFill>
                  <w14:solidFill>
                    <w14:schemeClr w14:val="tx1"/>
                  </w14:solidFill>
                </w14:textFill>
              </w:rPr>
              <w:t xml:space="preserve">XXXXXX </w:t>
            </w:r>
            <w:r>
              <w:rPr>
                <w:rFonts w:hint="eastAsia" w:ascii="宋体" w:hAnsi="宋体"/>
                <w:b/>
                <w:bCs/>
                <w:color w:val="000000" w:themeColor="text1"/>
                <w:szCs w:val="21"/>
                <w14:textFill>
                  <w14:solidFill>
                    <w14:schemeClr w14:val="tx1"/>
                  </w14:solidFill>
                </w14:textFill>
              </w:rPr>
              <w:t>元整）</w:t>
            </w:r>
          </w:p>
        </w:tc>
        <w:tc>
          <w:tcPr>
            <w:tcW w:w="24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81308">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宋体" w:hAnsi="宋体"/>
                <w:b/>
                <w:bCs/>
                <w:color w:val="000000" w:themeColor="text1"/>
                <w:szCs w:val="21"/>
                <w14:textFill>
                  <w14:solidFill>
                    <w14:schemeClr w14:val="tx1"/>
                  </w14:solidFill>
                </w14:textFill>
              </w:rPr>
              <w:t>（小写）¥</w:t>
            </w:r>
            <w:r>
              <w:rPr>
                <w:rFonts w:hint="eastAsia" w:ascii="宋体" w:hAnsi="宋体"/>
                <w:b/>
                <w:bCs/>
                <w:color w:val="000000" w:themeColor="text1"/>
                <w:szCs w:val="21"/>
                <w:lang w:val="en-US" w:eastAsia="zh-CN"/>
                <w14:textFill>
                  <w14:solidFill>
                    <w14:schemeClr w14:val="tx1"/>
                  </w14:solidFill>
                </w14:textFill>
              </w:rPr>
              <w:t xml:space="preserve"> XXXX </w:t>
            </w:r>
            <w:r>
              <w:rPr>
                <w:rFonts w:hint="eastAsia" w:ascii="宋体" w:hAnsi="宋体"/>
                <w:b/>
                <w:bCs/>
                <w:color w:val="000000" w:themeColor="text1"/>
                <w:szCs w:val="21"/>
                <w14:textFill>
                  <w14:solidFill>
                    <w14:schemeClr w14:val="tx1"/>
                  </w14:solidFill>
                </w14:textFill>
              </w:rPr>
              <w:t>元</w:t>
            </w:r>
          </w:p>
        </w:tc>
      </w:tr>
      <w:tr w14:paraId="4C10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93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EB5E67">
            <w:pPr>
              <w:keepNext w:val="0"/>
              <w:keepLines w:val="0"/>
              <w:widowControl/>
              <w:suppressLineNumbers w:val="0"/>
              <w:jc w:val="left"/>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二、商务要求</w:t>
            </w:r>
          </w:p>
        </w:tc>
      </w:tr>
      <w:tr w14:paraId="12FD5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0" w:hRule="atLeast"/>
        </w:trPr>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4B419">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质保期</w:t>
            </w:r>
          </w:p>
        </w:tc>
        <w:tc>
          <w:tcPr>
            <w:tcW w:w="798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71992287">
            <w:pPr>
              <w:keepNext w:val="0"/>
              <w:keepLines w:val="0"/>
              <w:widowControl/>
              <w:suppressLineNumbers w:val="0"/>
              <w:jc w:val="left"/>
              <w:textAlignment w:val="top"/>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例：</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1.按国家有关产品“三包”规定执行“三包”，自交货验收合格之日起所有软硬件设备、配件提供 3年的免费质保及软件免费升级服务（分项货物要求中有特别注明的，按特别注明的执行）。</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2.从通过验收即日起质保期/服务期内所有由于质量问题导致的软、硬件产品故障以免费保修、免费人工及免费更换备件标准上门服务，并提供终身维护。</w:t>
            </w:r>
          </w:p>
        </w:tc>
      </w:tr>
      <w:tr w14:paraId="1024F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3" w:hRule="atLeast"/>
        </w:trPr>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50A0B">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报价说明</w:t>
            </w:r>
          </w:p>
        </w:tc>
        <w:tc>
          <w:tcPr>
            <w:tcW w:w="798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47BA6477">
            <w:pPr>
              <w:keepNext w:val="0"/>
              <w:keepLines w:val="0"/>
              <w:widowControl/>
              <w:suppressLineNumbers w:val="0"/>
              <w:jc w:val="left"/>
              <w:textAlignment w:val="top"/>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报价为采购人指定地点的现场交付价格，包括但不限于：</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1）采购内容中所有货物和服务的价格；</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2）货物的标准附件、备品备件、专用工具的价格；</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3）运输、装卸、安装（含安装材料）、调试、培训、技术支持、售后服务的费用，质保期内免费维修、养护、软件升级等费用；</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4）必要的保险、检测费用和各项税费等。</w:t>
            </w:r>
          </w:p>
        </w:tc>
      </w:tr>
      <w:tr w14:paraId="360A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8" w:hRule="atLeast"/>
        </w:trPr>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FFBCC">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质保期</w:t>
            </w:r>
          </w:p>
        </w:tc>
        <w:tc>
          <w:tcPr>
            <w:tcW w:w="7980"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6CADE395">
            <w:pPr>
              <w:keepNext w:val="0"/>
              <w:keepLines w:val="0"/>
              <w:widowControl/>
              <w:suppressLineNumbers w:val="0"/>
              <w:jc w:val="left"/>
              <w:textAlignment w:val="bottom"/>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1.质保期三年。（分项货物服务要求中有特别注明的，按特别注明的执行）</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2.所有货物服务按国家“三包”有关规定执行“三包”。质保期自交付验收合格之日起计算，质保期内提供上门维修、更换和软件升级服务；质保期结束后，提供终身维护，并优惠提供相关零配件。</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1.按国家有关产品“三包”规定执行“三包”，自交货验收合格之日起所有软硬件设备、配件提供 一 年的免费质保及软件免费升级服务（分项货物要求中有特别注明的，按特别注明的执行）。</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2.从通过验收即日起质保期/服务期内所有由于质量问题导致的软、硬件产品故障以免费保修、免费人工及免费更换备件标准上门服务，并提供终身维护。</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（填写按照上述报价，供方可承诺给采购方的最长质保期或服务期）</w:t>
            </w:r>
          </w:p>
        </w:tc>
      </w:tr>
      <w:tr w14:paraId="02106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93" w:hRule="atLeast"/>
        </w:trPr>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043E1">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产品及售后服务要求</w:t>
            </w:r>
          </w:p>
        </w:tc>
        <w:tc>
          <w:tcPr>
            <w:tcW w:w="798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395E42E3">
            <w:pPr>
              <w:keepNext w:val="0"/>
              <w:keepLines w:val="0"/>
              <w:widowControl/>
              <w:suppressLineNumbers w:val="0"/>
              <w:jc w:val="left"/>
              <w:textAlignment w:val="top"/>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1.成交人交付的所有设备必须是签订合同之日前  1  年内生产的产品。</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2.送货至采购人指定地点，协助进行安装场地设计，完成安装和调试。所有安装应符合国家、行业相关标准及规范。所有货物仅接受现场交付，不接受邮递。</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3.为采购人提供产品操作、维修、日常养护等方面的培训，确保采购方使用人员能独立操作使用，培训人数、时间、地点等由采购人指定。</w:t>
            </w:r>
          </w:p>
        </w:tc>
      </w:tr>
      <w:tr w14:paraId="7C51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5" w:hRule="atLeast"/>
        </w:trPr>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C9412">
            <w:pPr>
              <w:keepNext w:val="0"/>
              <w:keepLines w:val="0"/>
              <w:widowControl/>
              <w:suppressLineNumbers w:val="0"/>
              <w:jc w:val="center"/>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交付时间</w:t>
            </w:r>
          </w:p>
        </w:tc>
        <w:tc>
          <w:tcPr>
            <w:tcW w:w="7980"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7159CDBB">
            <w:pPr>
              <w:keepNext w:val="0"/>
              <w:keepLines w:val="0"/>
              <w:widowControl/>
              <w:suppressLineNumbers w:val="0"/>
              <w:jc w:val="left"/>
              <w:textAlignment w:val="top"/>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1.交付时间：自签订合同之日起 30 日历日内全部交付完成并验收合格。</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2.交付地点：广西中医药大学。</w:t>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br w:type="textWrapping"/>
            </w: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（填写供方可承诺的最短交付期）</w:t>
            </w:r>
          </w:p>
        </w:tc>
      </w:tr>
      <w:tr w14:paraId="41026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trPr>
        <w:tc>
          <w:tcPr>
            <w:tcW w:w="93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34CE3C">
            <w:pPr>
              <w:keepNext w:val="0"/>
              <w:keepLines w:val="0"/>
              <w:widowControl/>
              <w:suppressLineNumbers w:val="0"/>
              <w:jc w:val="left"/>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三、其它</w:t>
            </w:r>
          </w:p>
        </w:tc>
      </w:tr>
      <w:tr w14:paraId="60704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93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19FBCE">
            <w:pPr>
              <w:keepNext w:val="0"/>
              <w:keepLines w:val="0"/>
              <w:widowControl/>
              <w:suppressLineNumbers w:val="0"/>
              <w:jc w:val="left"/>
              <w:textAlignment w:val="center"/>
              <w:rPr>
                <w:rFonts w:hint="eastAsia" w:ascii="黑体" w:hAnsi="宋体" w:eastAsia="黑体" w:cs="黑体"/>
                <w:i w:val="0"/>
                <w:iCs w:val="0"/>
                <w:color w:val="000000" w:themeColor="text1"/>
                <w:sz w:val="24"/>
                <w:szCs w:val="24"/>
                <w:u w:val="none"/>
                <w14:textFill>
                  <w14:solidFill>
                    <w14:schemeClr w14:val="tx1"/>
                  </w14:solidFill>
                </w14:textFill>
              </w:rPr>
            </w:pPr>
            <w:r>
              <w:rPr>
                <w:rFonts w:hint="eastAsia" w:ascii="黑体" w:hAnsi="宋体" w:eastAsia="黑体" w:cs="黑体"/>
                <w:i w:val="0"/>
                <w:iCs w:val="0"/>
                <w:color w:val="000000" w:themeColor="text1"/>
                <w:kern w:val="0"/>
                <w:sz w:val="24"/>
                <w:szCs w:val="24"/>
                <w:u w:val="none"/>
                <w:lang w:val="en-US" w:eastAsia="zh-CN" w:bidi="ar"/>
                <w14:textFill>
                  <w14:solidFill>
                    <w14:schemeClr w14:val="tx1"/>
                  </w14:solidFill>
                </w14:textFill>
              </w:rPr>
              <w:t>对上述内容进行补充</w:t>
            </w:r>
          </w:p>
        </w:tc>
      </w:tr>
    </w:tbl>
    <w:p w14:paraId="4A43ED37">
      <w:pPr>
        <w:rPr>
          <w:rFonts w:ascii="宋体" w:hAnsi="宋体" w:cs="仿宋"/>
          <w:bCs/>
          <w:color w:val="000000" w:themeColor="text1"/>
          <w14:textFill>
            <w14:solidFill>
              <w14:schemeClr w14:val="tx1"/>
            </w14:solidFill>
          </w14:textFill>
        </w:rPr>
      </w:pPr>
      <w:r>
        <w:rPr>
          <w:rFonts w:hint="eastAsia" w:ascii="宋体" w:hAnsi="宋体" w:cs="仿宋"/>
          <w:color w:val="000000" w:themeColor="text1"/>
          <w:sz w:val="18"/>
          <w14:textFill>
            <w14:solidFill>
              <w14:schemeClr w14:val="tx1"/>
            </w14:solidFill>
          </w14:textFill>
        </w:rPr>
        <w:t>注：所有价格均用人民币表示，单位为元，精确到小数点后两位。</w:t>
      </w:r>
    </w:p>
    <w:p w14:paraId="6F4051A5">
      <w:pPr>
        <w:spacing w:line="460" w:lineRule="exact"/>
        <w:rPr>
          <w:rFonts w:ascii="宋体" w:hAnsi="宋体" w:cs="仿宋"/>
          <w:bCs/>
          <w:color w:val="000000" w:themeColor="text1"/>
          <w14:textFill>
            <w14:solidFill>
              <w14:schemeClr w14:val="tx1"/>
            </w14:solidFill>
          </w14:textFill>
        </w:rPr>
      </w:pPr>
    </w:p>
    <w:p w14:paraId="4AE84CB7">
      <w:pPr>
        <w:spacing w:line="360" w:lineRule="auto"/>
        <w:ind w:left="10" w:leftChars="5" w:firstLine="554" w:firstLineChars="198"/>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供应商全称：</w:t>
      </w:r>
      <w:r>
        <w:rPr>
          <w:rFonts w:hint="eastAsia" w:ascii="宋体" w:hAnsi="宋体" w:cs="宋体"/>
          <w:color w:val="000000" w:themeColor="text1"/>
          <w:sz w:val="28"/>
          <w:szCs w:val="28"/>
          <w:u w:val="single"/>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（公章）</w:t>
      </w:r>
    </w:p>
    <w:p w14:paraId="0B597B83">
      <w:pPr>
        <w:spacing w:line="360" w:lineRule="auto"/>
        <w:ind w:left="10" w:leftChars="5" w:firstLine="554" w:firstLineChars="198"/>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法定代表人或委托代理人：</w:t>
      </w:r>
      <w:r>
        <w:rPr>
          <w:rFonts w:hint="eastAsia" w:ascii="宋体" w:hAnsi="宋体" w:cs="宋体"/>
          <w:color w:val="000000" w:themeColor="text1"/>
          <w:sz w:val="28"/>
          <w:szCs w:val="28"/>
          <w:u w:val="single"/>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（签字或签章）</w:t>
      </w:r>
    </w:p>
    <w:p w14:paraId="39240012">
      <w:pPr>
        <w:spacing w:line="360" w:lineRule="auto"/>
        <w:ind w:left="10" w:leftChars="5" w:firstLine="554" w:firstLineChars="198"/>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供应商地址：</w:t>
      </w:r>
      <w:r>
        <w:rPr>
          <w:rFonts w:hint="eastAsia" w:ascii="宋体" w:hAnsi="宋体" w:cs="宋体"/>
          <w:color w:val="000000" w:themeColor="text1"/>
          <w:sz w:val="28"/>
          <w:szCs w:val="28"/>
          <w:u w:val="single"/>
          <w14:textFill>
            <w14:solidFill>
              <w14:schemeClr w14:val="tx1"/>
            </w14:solidFill>
          </w14:textFill>
        </w:rPr>
        <w:tab/>
      </w:r>
      <w:r>
        <w:rPr>
          <w:rFonts w:hint="eastAsia" w:ascii="宋体" w:hAnsi="宋体" w:cs="宋体"/>
          <w:color w:val="000000" w:themeColor="text1"/>
          <w:sz w:val="28"/>
          <w:szCs w:val="28"/>
          <w:u w:val="single"/>
          <w14:textFill>
            <w14:solidFill>
              <w14:schemeClr w14:val="tx1"/>
            </w14:solidFill>
          </w14:textFill>
        </w:rPr>
        <w:t xml:space="preserve">   </w:t>
      </w:r>
      <w:r>
        <w:rPr>
          <w:rFonts w:ascii="宋体" w:hAnsi="宋体" w:cs="宋体"/>
          <w:color w:val="000000" w:themeColor="text1"/>
          <w:sz w:val="28"/>
          <w:szCs w:val="28"/>
          <w:u w:val="single"/>
          <w14:textFill>
            <w14:solidFill>
              <w14:schemeClr w14:val="tx1"/>
            </w14:solidFill>
          </w14:textFill>
        </w:rPr>
        <w:t xml:space="preserve">                    </w:t>
      </w:r>
    </w:p>
    <w:p w14:paraId="33CE5CA9">
      <w:pPr>
        <w:spacing w:line="360" w:lineRule="auto"/>
        <w:ind w:left="10" w:leftChars="5" w:firstLine="554" w:firstLineChars="198"/>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供应商联系方式：</w:t>
      </w:r>
      <w:r>
        <w:rPr>
          <w:rFonts w:ascii="宋体" w:hAnsi="宋体" w:cs="宋体"/>
          <w:color w:val="000000" w:themeColor="text1"/>
          <w:sz w:val="28"/>
          <w:szCs w:val="28"/>
          <w:u w:val="single"/>
          <w14:textFill>
            <w14:solidFill>
              <w14:schemeClr w14:val="tx1"/>
            </w14:solidFill>
          </w14:textFill>
        </w:rPr>
        <w:t xml:space="preserve">     </w:t>
      </w:r>
      <w:r>
        <w:rPr>
          <w:rFonts w:hint="eastAsia" w:ascii="宋体" w:hAnsi="宋体" w:cs="宋体"/>
          <w:color w:val="000000" w:themeColor="text1"/>
          <w:sz w:val="28"/>
          <w:szCs w:val="28"/>
          <w:u w:val="single"/>
          <w14:textFill>
            <w14:solidFill>
              <w14:schemeClr w14:val="tx1"/>
            </w14:solidFill>
          </w14:textFill>
        </w:rPr>
        <w:t xml:space="preserve">                </w:t>
      </w:r>
      <w:r>
        <w:rPr>
          <w:rFonts w:ascii="宋体" w:hAnsi="宋体" w:cs="宋体"/>
          <w:color w:val="000000" w:themeColor="text1"/>
          <w:sz w:val="28"/>
          <w:szCs w:val="28"/>
          <w:u w:val="single"/>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（联系人、联系电话）</w:t>
      </w:r>
    </w:p>
    <w:p w14:paraId="09C5E731">
      <w:pPr>
        <w:spacing w:line="360" w:lineRule="auto"/>
        <w:rPr>
          <w:rFonts w:ascii="宋体" w:hAnsi="宋体" w:cs="宋体"/>
          <w:color w:val="000000" w:themeColor="text1"/>
          <w:sz w:val="28"/>
          <w:szCs w:val="28"/>
          <w14:textFill>
            <w14:solidFill>
              <w14:schemeClr w14:val="tx1"/>
            </w14:solidFill>
          </w14:textFill>
        </w:rPr>
      </w:pPr>
    </w:p>
    <w:p w14:paraId="69901750">
      <w:pPr>
        <w:widowControl/>
        <w:spacing w:line="360" w:lineRule="auto"/>
        <w:jc w:val="center"/>
        <w:rPr>
          <w:color w:val="000000" w:themeColor="text1"/>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日期：</w:t>
      </w:r>
      <w:r>
        <w:rPr>
          <w:rFonts w:hint="eastAsia" w:ascii="宋体" w:hAnsi="宋体" w:cs="宋体"/>
          <w:color w:val="000000" w:themeColor="text1"/>
          <w:sz w:val="28"/>
          <w:szCs w:val="28"/>
          <w:u w:val="single"/>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年</w:t>
      </w:r>
      <w:r>
        <w:rPr>
          <w:rFonts w:hint="eastAsia" w:ascii="宋体" w:hAnsi="宋体" w:cs="宋体"/>
          <w:color w:val="000000" w:themeColor="text1"/>
          <w:sz w:val="28"/>
          <w:szCs w:val="28"/>
          <w:u w:val="single"/>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月</w:t>
      </w:r>
      <w:r>
        <w:rPr>
          <w:rFonts w:hint="eastAsia" w:ascii="宋体" w:hAnsi="宋体" w:cs="宋体"/>
          <w:color w:val="000000" w:themeColor="text1"/>
          <w:sz w:val="28"/>
          <w:szCs w:val="28"/>
          <w:u w:val="single"/>
          <w14:textFill>
            <w14:solidFill>
              <w14:schemeClr w14:val="tx1"/>
            </w14:solidFill>
          </w14:textFill>
        </w:rPr>
        <w:t xml:space="preserve">    </w:t>
      </w:r>
      <w:r>
        <w:rPr>
          <w:rFonts w:hint="eastAsia" w:ascii="宋体" w:hAnsi="宋体" w:cs="宋体"/>
          <w:color w:val="000000" w:themeColor="text1"/>
          <w:sz w:val="28"/>
          <w:szCs w:val="28"/>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98A0896-7A39-4668-8B02-8E0DC9DB5423}"/>
  </w:font>
  <w:font w:name="黑体">
    <w:panose1 w:val="02010609060101010101"/>
    <w:charset w:val="86"/>
    <w:family w:val="auto"/>
    <w:pitch w:val="default"/>
    <w:sig w:usb0="800002BF" w:usb1="38CF7CFA" w:usb2="00000016" w:usb3="00000000" w:csb0="00040001" w:csb1="00000000"/>
    <w:embedRegular r:id="rId2" w:fontKey="{75B35A24-CD40-4B3B-A3A4-0FF0B6637E2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D5ED620B-6132-4447-97D2-9ADDD37C3526}"/>
  </w:font>
  <w:font w:name="方正小标宋简体">
    <w:panose1 w:val="02000000000000000000"/>
    <w:charset w:val="86"/>
    <w:family w:val="auto"/>
    <w:pitch w:val="default"/>
    <w:sig w:usb0="00000001" w:usb1="08000000" w:usb2="00000000" w:usb3="00000000" w:csb0="00040000" w:csb1="00000000"/>
    <w:embedRegular r:id="rId4" w:fontKey="{EB4D8820-4EEA-4483-A134-39C18CED2CDE}"/>
  </w:font>
  <w:font w:name="仿宋">
    <w:panose1 w:val="02010609060101010101"/>
    <w:charset w:val="86"/>
    <w:family w:val="modern"/>
    <w:pitch w:val="default"/>
    <w:sig w:usb0="800002BF" w:usb1="38CF7CFA" w:usb2="00000016" w:usb3="00000000" w:csb0="00040001" w:csb1="00000000"/>
    <w:embedRegular r:id="rId5" w:fontKey="{0E33E7FD-40EA-4E97-81CC-0F03064DD7CF}"/>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D65498"/>
    <w:rsid w:val="01336206"/>
    <w:rsid w:val="083A0C0C"/>
    <w:rsid w:val="08487F22"/>
    <w:rsid w:val="08591D90"/>
    <w:rsid w:val="08DC7FAC"/>
    <w:rsid w:val="09A1725A"/>
    <w:rsid w:val="0FFE504A"/>
    <w:rsid w:val="10273C90"/>
    <w:rsid w:val="11822C48"/>
    <w:rsid w:val="12FF1576"/>
    <w:rsid w:val="17E52942"/>
    <w:rsid w:val="18227C47"/>
    <w:rsid w:val="18EC78F1"/>
    <w:rsid w:val="19C66245"/>
    <w:rsid w:val="1AAB6848"/>
    <w:rsid w:val="1AC774C7"/>
    <w:rsid w:val="1EA73335"/>
    <w:rsid w:val="20700D48"/>
    <w:rsid w:val="20DD0B2B"/>
    <w:rsid w:val="233E1DDF"/>
    <w:rsid w:val="23B549EA"/>
    <w:rsid w:val="24BE0EA4"/>
    <w:rsid w:val="25D65498"/>
    <w:rsid w:val="25F60DA0"/>
    <w:rsid w:val="28B83504"/>
    <w:rsid w:val="294468A4"/>
    <w:rsid w:val="29E81689"/>
    <w:rsid w:val="29F724E8"/>
    <w:rsid w:val="2AD370A0"/>
    <w:rsid w:val="2B0626A5"/>
    <w:rsid w:val="2C4F5EBF"/>
    <w:rsid w:val="3B0F6973"/>
    <w:rsid w:val="3C934571"/>
    <w:rsid w:val="40E24800"/>
    <w:rsid w:val="416F56E8"/>
    <w:rsid w:val="463B4047"/>
    <w:rsid w:val="4A7224B3"/>
    <w:rsid w:val="4B423A85"/>
    <w:rsid w:val="4BA32DDE"/>
    <w:rsid w:val="4C1B3482"/>
    <w:rsid w:val="4C365617"/>
    <w:rsid w:val="4C714177"/>
    <w:rsid w:val="503A2557"/>
    <w:rsid w:val="520C4428"/>
    <w:rsid w:val="526D0FC9"/>
    <w:rsid w:val="53AA25E0"/>
    <w:rsid w:val="586F4122"/>
    <w:rsid w:val="587250A7"/>
    <w:rsid w:val="5A5004DF"/>
    <w:rsid w:val="5A5468C1"/>
    <w:rsid w:val="5AE16125"/>
    <w:rsid w:val="5C075F07"/>
    <w:rsid w:val="61DD7159"/>
    <w:rsid w:val="6777486D"/>
    <w:rsid w:val="69E52A68"/>
    <w:rsid w:val="6A0A6608"/>
    <w:rsid w:val="6A2256E9"/>
    <w:rsid w:val="6FE139C0"/>
    <w:rsid w:val="6FE35227"/>
    <w:rsid w:val="724E1555"/>
    <w:rsid w:val="72773004"/>
    <w:rsid w:val="730409E5"/>
    <w:rsid w:val="73075B17"/>
    <w:rsid w:val="7312459B"/>
    <w:rsid w:val="73571248"/>
    <w:rsid w:val="7970564B"/>
    <w:rsid w:val="79D5604D"/>
    <w:rsid w:val="7AAE26C9"/>
    <w:rsid w:val="7EFD7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333333"/>
      <w:u w:val="none"/>
    </w:rPr>
  </w:style>
  <w:style w:type="character" w:styleId="8">
    <w:name w:val="Emphasis"/>
    <w:basedOn w:val="5"/>
    <w:qFormat/>
    <w:uiPriority w:val="0"/>
  </w:style>
  <w:style w:type="character" w:styleId="9">
    <w:name w:val="HTML Definition"/>
    <w:basedOn w:val="5"/>
    <w:uiPriority w:val="0"/>
  </w:style>
  <w:style w:type="character" w:styleId="10">
    <w:name w:val="HTML Acronym"/>
    <w:basedOn w:val="5"/>
    <w:uiPriority w:val="0"/>
  </w:style>
  <w:style w:type="character" w:styleId="11">
    <w:name w:val="HTML Variable"/>
    <w:basedOn w:val="5"/>
    <w:uiPriority w:val="0"/>
  </w:style>
  <w:style w:type="character" w:styleId="12">
    <w:name w:val="Hyperlink"/>
    <w:basedOn w:val="5"/>
    <w:uiPriority w:val="0"/>
    <w:rPr>
      <w:color w:val="333333"/>
      <w:u w:val="none"/>
    </w:rPr>
  </w:style>
  <w:style w:type="character" w:styleId="13">
    <w:name w:val="HTML Code"/>
    <w:basedOn w:val="5"/>
    <w:uiPriority w:val="0"/>
    <w:rPr>
      <w:rFonts w:ascii="Courier New" w:hAnsi="Courier New"/>
      <w:sz w:val="20"/>
    </w:rPr>
  </w:style>
  <w:style w:type="character" w:styleId="14">
    <w:name w:val="HTML Cite"/>
    <w:basedOn w:val="5"/>
    <w:uiPriority w:val="0"/>
  </w:style>
  <w:style w:type="character" w:customStyle="1" w:styleId="15">
    <w:name w:val="font61"/>
    <w:basedOn w:val="5"/>
    <w:qFormat/>
    <w:uiPriority w:val="0"/>
    <w:rPr>
      <w:rFonts w:hint="eastAsia" w:ascii="黑体" w:hAnsi="宋体" w:eastAsia="黑体" w:cs="黑体"/>
      <w:color w:val="000000"/>
      <w:sz w:val="21"/>
      <w:szCs w:val="21"/>
      <w:u w:val="none"/>
    </w:rPr>
  </w:style>
  <w:style w:type="character" w:customStyle="1" w:styleId="16">
    <w:name w:val="font101"/>
    <w:basedOn w:val="5"/>
    <w:qFormat/>
    <w:uiPriority w:val="0"/>
    <w:rPr>
      <w:rFonts w:ascii="Arial" w:hAnsi="Arial" w:cs="Arial"/>
      <w:color w:val="000000"/>
      <w:sz w:val="21"/>
      <w:szCs w:val="21"/>
      <w:u w:val="none"/>
    </w:rPr>
  </w:style>
  <w:style w:type="character" w:customStyle="1" w:styleId="17">
    <w:name w:val="font71"/>
    <w:basedOn w:val="5"/>
    <w:qFormat/>
    <w:uiPriority w:val="0"/>
    <w:rPr>
      <w:rFonts w:hint="eastAsia" w:ascii="宋体" w:hAnsi="宋体" w:eastAsia="宋体" w:cs="宋体"/>
      <w:color w:val="000000"/>
      <w:sz w:val="21"/>
      <w:szCs w:val="21"/>
      <w:u w:val="none"/>
    </w:rPr>
  </w:style>
  <w:style w:type="character" w:customStyle="1" w:styleId="18">
    <w:name w:val="font112"/>
    <w:basedOn w:val="5"/>
    <w:qFormat/>
    <w:uiPriority w:val="0"/>
    <w:rPr>
      <w:rFonts w:hint="default" w:ascii="Arial" w:hAnsi="Arial" w:cs="Arial"/>
      <w:color w:val="000000"/>
      <w:sz w:val="24"/>
      <w:szCs w:val="24"/>
      <w:u w:val="none"/>
    </w:rPr>
  </w:style>
  <w:style w:type="character" w:customStyle="1" w:styleId="19">
    <w:name w:val="font11"/>
    <w:basedOn w:val="5"/>
    <w:qFormat/>
    <w:uiPriority w:val="0"/>
    <w:rPr>
      <w:rFonts w:hint="eastAsia" w:ascii="黑体" w:hAnsi="宋体" w:eastAsia="黑体" w:cs="黑体"/>
      <w:color w:val="000000"/>
      <w:sz w:val="24"/>
      <w:szCs w:val="24"/>
      <w:u w:val="none"/>
    </w:rPr>
  </w:style>
  <w:style w:type="character" w:customStyle="1" w:styleId="20">
    <w:name w:val="center"/>
    <w:basedOn w:val="5"/>
    <w:qFormat/>
    <w:uiPriority w:val="0"/>
  </w:style>
  <w:style w:type="character" w:customStyle="1" w:styleId="21">
    <w:name w:val="hover10"/>
    <w:basedOn w:val="5"/>
    <w:uiPriority w:val="0"/>
    <w:rPr>
      <w:color w:val="337AB7"/>
    </w:rPr>
  </w:style>
  <w:style w:type="character" w:customStyle="1" w:styleId="22">
    <w:name w:val="layui-this"/>
    <w:basedOn w:val="5"/>
    <w:qFormat/>
    <w:uiPriority w:val="0"/>
    <w:rPr>
      <w:bdr w:val="single" w:color="EEEEEE" w:sz="6" w:space="0"/>
      <w:shd w:val="clear" w:fill="FFFFFF"/>
    </w:rPr>
  </w:style>
  <w:style w:type="character" w:customStyle="1" w:styleId="23">
    <w:name w:val="first-child"/>
    <w:basedOn w:val="5"/>
    <w:qFormat/>
    <w:uiPriority w:val="0"/>
  </w:style>
  <w:style w:type="character" w:customStyle="1" w:styleId="24">
    <w:name w:val="font51"/>
    <w:basedOn w:val="5"/>
    <w:qFormat/>
    <w:uiPriority w:val="0"/>
    <w:rPr>
      <w:rFonts w:hint="eastAsia" w:ascii="黑体" w:hAnsi="宋体" w:eastAsia="黑体" w:cs="黑体"/>
      <w:color w:val="FF0000"/>
      <w:sz w:val="21"/>
      <w:szCs w:val="21"/>
      <w:u w:val="none"/>
    </w:rPr>
  </w:style>
  <w:style w:type="character" w:customStyle="1" w:styleId="25">
    <w:name w:val="font21"/>
    <w:basedOn w:val="5"/>
    <w:qFormat/>
    <w:uiPriority w:val="0"/>
    <w:rPr>
      <w:rFonts w:hint="eastAsia" w:ascii="黑体" w:hAnsi="宋体" w:eastAsia="黑体" w:cs="黑体"/>
      <w:color w:val="000000"/>
      <w:sz w:val="21"/>
      <w:szCs w:val="21"/>
      <w:u w:val="none"/>
    </w:rPr>
  </w:style>
  <w:style w:type="character" w:customStyle="1" w:styleId="26">
    <w:name w:val="font31"/>
    <w:basedOn w:val="5"/>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17899</Words>
  <Characters>20374</Characters>
  <Lines>1</Lines>
  <Paragraphs>1</Paragraphs>
  <TotalTime>1</TotalTime>
  <ScaleCrop>false</ScaleCrop>
  <LinksUpToDate>false</LinksUpToDate>
  <CharactersWithSpaces>22727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2025-06-13T09:20:00Z</dcterms:created>
  <dc:creator>文军</dc:creator>
  <cp:lastModifiedBy>观光休闲</cp:lastModifiedBy>
  <cp:lastPrinted>2025-06-17T07:33:00Z</cp:lastPrinted>
  <dcterms:modified xsi:type="dcterms:W3CDTF">2026-10-15T03:46:13Z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D248F11FD25F4C20ADA9579DEBFF7FDA_13</vt:lpwstr>
  </property>
  <property fmtid="{D5CDD505-2E9C-101B-9397-08002B2CF9AE}" pid="4" name="KSOTemplateDocerSaveRecord">
    <vt:lpwstr>eyJoZGlkIjoiYzk1NmEyYzkzNDllOWE2ZWE3YzQ2NGJiOGNjOTQyMTkiLCJ1c2VySWQiOiI0MDU1MjY4MTUifQ==</vt:lpwstr>
  </property>
</Properties>
</file>