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09AD1">
      <w:pPr>
        <w:keepNext w:val="0"/>
        <w:keepLines w:val="0"/>
        <w:widowControl/>
        <w:suppressLineNumbers w:val="0"/>
        <w:spacing w:after="75" w:afterAutospacing="0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广西中医药大学2026年康复医学实验教学中心实验室设备采购项目需求征集公告</w:t>
      </w:r>
    </w:p>
    <w:p w14:paraId="43DFDC4E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我校拟进行1项采购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项目需求征集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，具体要求如下：</w:t>
      </w:r>
    </w:p>
    <w:p w14:paraId="5EC850DB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一、项目概况</w:t>
      </w:r>
    </w:p>
    <w:p w14:paraId="37B5192A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1.项目名称：广西中医药大学202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康复医学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实验教学中心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实验室设备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采购项目需求征集公告</w:t>
      </w:r>
    </w:p>
    <w:p w14:paraId="4B4EEEAA">
      <w:pPr>
        <w:pStyle w:val="3"/>
        <w:keepNext w:val="0"/>
        <w:keepLines w:val="0"/>
        <w:widowControl/>
        <w:suppressLineNumbers w:val="0"/>
        <w:spacing w:line="420" w:lineRule="atLeast"/>
        <w:ind w:left="0" w:firstLine="55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2.采购目的：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超声治疗仪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半导体激光治疗仪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超短波治疗仪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高频电容电阻治疗仪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体外冲击波治疗仪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等设备，满足康复医学实验教学中心实验教学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需求。</w:t>
      </w:r>
    </w:p>
    <w:p w14:paraId="02AD1F6E">
      <w:pPr>
        <w:pStyle w:val="3"/>
        <w:keepNext w:val="0"/>
        <w:keepLines w:val="0"/>
        <w:widowControl/>
        <w:suppressLineNumbers w:val="0"/>
        <w:spacing w:line="420" w:lineRule="atLeast"/>
        <w:ind w:left="0" w:firstLine="55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3.采购内容：见需求征集明细</w:t>
      </w:r>
    </w:p>
    <w:p w14:paraId="0F7CB232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4.项目预算：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约110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元</w:t>
      </w:r>
    </w:p>
    <w:p w14:paraId="3F321EC9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二、需求征集要求</w:t>
      </w:r>
    </w:p>
    <w:p w14:paraId="04F51448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1.需求提供方资格要求：国内注册（指按国家有关规定要求注册的），生产或经营本次采购货物或服务的，具备法人资格的供应商。</w:t>
      </w:r>
    </w:p>
    <w:p w14:paraId="74BA8C03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2.需求征集文件要求：必须包括营业执照复印件、需求明细表（附件）。</w:t>
      </w:r>
    </w:p>
    <w:p w14:paraId="11A5E7D5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3.在线征集截止时间和收集方式：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17时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将文件发送至以下电子邮箱：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185325245@qq.com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。</w:t>
      </w:r>
    </w:p>
    <w:p w14:paraId="1F63B96F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三、业务咨询</w:t>
      </w:r>
    </w:p>
    <w:p w14:paraId="61E8864A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刘老师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18100772596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</w:rPr>
        <w:t xml:space="preserve">  </w:t>
      </w:r>
    </w:p>
    <w:p w14:paraId="4CB5004D">
      <w:pPr>
        <w:pStyle w:val="3"/>
        <w:keepNext w:val="0"/>
        <w:keepLines w:val="0"/>
        <w:widowControl/>
        <w:suppressLineNumbers w:val="0"/>
        <w:spacing w:line="420" w:lineRule="atLeast"/>
        <w:ind w:left="0" w:firstLine="570"/>
        <w:jc w:val="left"/>
        <w:rPr>
          <w:color w:val="auto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 四、其他说明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       本次采购需求征集，只作为编制采购需求的参考依据之一。需求提供方可以直接对需求技术参数进行修改、完善。</w:t>
      </w:r>
    </w:p>
    <w:p w14:paraId="1EDDA350">
      <w:pPr>
        <w:widowControl/>
        <w:spacing w:line="440" w:lineRule="exact"/>
        <w:jc w:val="left"/>
        <w:rPr>
          <w:rFonts w:ascii="黑体" w:hAnsi="黑体" w:eastAsia="黑体" w:cs="宋体"/>
          <w:bCs/>
          <w:color w:val="auto"/>
          <w:sz w:val="32"/>
          <w:szCs w:val="32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     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附件</w:t>
      </w:r>
    </w:p>
    <w:p w14:paraId="1C0FF6E6">
      <w:pPr>
        <w:widowControl/>
        <w:spacing w:line="460" w:lineRule="exact"/>
        <w:jc w:val="center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需求征集明细表</w:t>
      </w:r>
    </w:p>
    <w:tbl>
      <w:tblPr>
        <w:tblStyle w:val="4"/>
        <w:tblW w:w="6106" w:type="pct"/>
        <w:tblInd w:w="-1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43"/>
        <w:gridCol w:w="1997"/>
        <w:gridCol w:w="3749"/>
        <w:gridCol w:w="633"/>
        <w:gridCol w:w="502"/>
        <w:gridCol w:w="864"/>
        <w:gridCol w:w="925"/>
      </w:tblGrid>
      <w:tr w14:paraId="71A9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122A0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一、技术要求</w:t>
            </w:r>
          </w:p>
        </w:tc>
      </w:tr>
      <w:tr w14:paraId="163D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74D9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85385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采购内容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769BF3">
            <w:pPr>
              <w:snapToGrid w:val="0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品牌型号、生产厂家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(填三个)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2DD35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技术参数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19D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计量</w:t>
            </w:r>
          </w:p>
          <w:p w14:paraId="0AB2A8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CC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134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单价</w:t>
            </w:r>
          </w:p>
          <w:p w14:paraId="4A485A6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元）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D56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小计</w:t>
            </w:r>
          </w:p>
          <w:p w14:paraId="2D8E757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元）</w:t>
            </w:r>
          </w:p>
        </w:tc>
      </w:tr>
      <w:tr w14:paraId="261A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B4F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2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超声治疗仪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690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1.四川泰猷/TY-M100A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2.苏州好博/HB820D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3.深圳东迪欣/CT2401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23A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▲1.适应症范围：适用于人体的颈肩部、腰腹部和四肢部位慢性软组织损伤性疼痛的治疗。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2.彩色液晶显示屏，显示人机交互界面及设备运行参数。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3.立式推车，设备稳定性更强，方便移动。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4.配备1号治疗头和2号治疗头。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▲5.设备的两个治疗头分别用于深部及浅部组织治疗。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6.声工作频率：≤0.9MHz。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7.额定输出声功率≤10W，功率分档调节，输出功率精确标定。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8.采用低强度聚焦脉冲超声技术，治疗头输出端采用特制透声膜，自主研发高分子材料填充，提高超声传导效率。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9.治疗头输出端采用特制硅胶透声膜，可提供生物相容性报告。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▲10.治疗头焦平面距离： ≥20mm。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▲11.空间峰值时间平均声强（Ispta）:≤1.5W/cm2。（提供第三方检测报告或者产品说明书并加盖生产企业公章）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12.治疗时间：0-300秒范围内可调。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13.治疗头超温：治疗头辐射表面的温度≤41℃。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14.全周期压控技术：控制电路设计采用动态实时反馈技术，对返回电流进行监控，稳定电流，以避免超声功率输出超标，确保治疗仪的安全性。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15.调制波形：方波。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16.波束类型：会聚型。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▲17.聚焦超声换能器，聚焦面积: ≥0.09cm2（提供第三方检测报告或者产品说明书并加盖生产企业公章）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▲18.设备使用年限不低于8年。（产品说明书并加盖生产企业公章）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19.脉冲占空比：2%-100%；脉冲重复周期:2.5s。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20.电源电压适应范围：AC 220V 50Hz。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治疗头：1号和2号共两个治疗头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产品合格证：1套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产品说明书：1套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耦合剂：2瓶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保修卡：1套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FF0000"/>
                <w:sz w:val="20"/>
                <w:szCs w:val="20"/>
                <w:lang w:val="en-US" w:eastAsia="zh-CN"/>
              </w:rPr>
            </w:pPr>
          </w:p>
        </w:tc>
      </w:tr>
      <w:tr w14:paraId="5FD7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394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8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8E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1.瀚东启辰/HPL-330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2.北京龙慧珩/HOP-100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3.武汉博激/Tethys Pro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18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1.激光类型：医用半导体激光器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2.▲工作激光波长：808nm±10nm，975nm±10nm，1064nm±20nm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3.▲最大持续输出功率：单波长15W，组合输出30W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4.▲输出方式：手持式靶点治疗光学手柄，连续模式，重复脉冲模式，单脉冲输出，单脉冲串输出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5.▲激光脉冲频率：1-10000Hz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6.▲占空比：10%-90%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7.手柄光纤长度：≥2m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8.指 示 光：激光二极管650nm（±10nm）≤5mW，亮度可调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9.定时功能：0—99min，可调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10.智能操作系统，中英文输入，可连接WiFi，远程升级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11.具备智能模式，选择治疗部位、疾病种类，根据体型（BMI）、肤色等自动生成治疗处方，包括能量、功率、时间、波长比例、输出模式等参数，并可根据需要手动调节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12.具有VAS疼痛评估功能，可以评估及记录患者VAS评分，直观反映病程变化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13.病例档案管理系统，可存储及管理病例姓名、性别、编号、诊断及治疗记录等信息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14.操作方式：≥10英寸高档精密彩色触摸液晶屏，治疗参数、方案及机器运行情况等均可显示，触摸液晶屏可进行各种参数、模式和状态的选择和设置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15.端口：内置网络连接端口，USB接口，RS232接口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16.保护系统：具备钥匙开关管理；联锁开关保护；急停开关保护；精密温度控制系统，保证激光器寿命和功率稳定输出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17.激光防护眼镜输出波长光密度：≥4 ，可见光透射比≥30%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18.冷却方式：风冷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19.激光类别：4类激光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20.电源输入：220V，5A，50Hz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21.安全分类：Ⅰ类B型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 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 主机箱1台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 主机钥匙2把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4． 治疗手柄1个</w:t>
            </w:r>
          </w:p>
          <w:p w14:paraId="509E5B91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 治疗手柄套装 1套（含5种治疗头）</w:t>
            </w:r>
          </w:p>
          <w:p w14:paraId="7193B320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6． 安全联锁1个</w:t>
            </w:r>
          </w:p>
          <w:p w14:paraId="4D2FA1EC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7． 激光防护眼镜2副</w:t>
            </w:r>
          </w:p>
          <w:p w14:paraId="2942A0C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8． 电源线1条</w:t>
            </w:r>
          </w:p>
          <w:p w14:paraId="42DEC781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9． 治疗指南 1份</w:t>
            </w:r>
          </w:p>
          <w:p w14:paraId="6DE827CF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10． 设备配置清单1份</w:t>
            </w:r>
          </w:p>
          <w:p w14:paraId="797EDC87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11． 支架1个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</w:p>
          <w:p w14:paraId="751FE96C">
            <w:pPr>
              <w:bidi w:val="0"/>
              <w:ind w:firstLine="368" w:firstLineChars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2A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01A8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BA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超短波治疗仪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2B4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1.艾尔曼/USW-G01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2.汕头医用/DL-C-M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3.武汉佐盈森/NK-P-B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57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1.▲频率： 40.68 MHz ± 0.6%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2.输出模式：连续输出模式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3.输出功率：连续输出功率50W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4.治疗时间： 1-30分钟可调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5.输出波形：连续正弦波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6.四种治疗剂量：非热效应、微热效应、温热效应、热效应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7.强度设定装置：20档可调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8.▲快速晶体管自动匹配调整装置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9.彩色液晶显示屏尺寸≥7寸，分辨率≥800*480ppi，显示输出强度大小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10.时间倒计时结束停止工作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11.▲设备带有遥控器操作，方便医务人员使用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12.使用安全可靠，过流保护、过热保护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13.输入功率：150VA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14.设备重量≤8KG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15.▲便携式结构设计，尺寸≤250mm*250mm*500mm（长宽高）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16.可选配五官电极、肺部电极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17.多种专利技术实现智能便携，可用于门诊、床边治疗（提供专利证明）</w:t>
            </w:r>
          </w:p>
          <w:p w14:paraId="324B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1.主机 1台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2.方绑带式电极（142mm*114mm）                   1对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3.固定带   3条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4.验电器   1个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5.电源线     1条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6.说明书       1本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7.保修卡      1张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8.合格证        1个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9.保险丝（T2AL250V）  2个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10.遥控器      1个                             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B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015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13C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3A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高频电容电阻治疗仪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F98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1.河南优德/YD-TECAR900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2.半岛医疗/Unicorn 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3.顺博医疗/XSSP-3SE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23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一、产品技术参数及功能：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1.使用电源：AC220V±22V，50Hz±1Hz;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2.额定输入功率：380VA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3.规格（长*宽*高）：440mm*400mm*200mm±50mm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4.显示屏：液晶触控屏，便捷操作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5.▲工作频率：448kHz±10%。(提供检验报告、技术要求、说明书)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6.治疗强度：具备不少于两种输出强度功能，电阻模式0～100VA，电容模式0～200VA，治疗强度0～100%可调，步进1%；治疗强度 0～10VA，允差±2VA；治疗强度&gt;10VA，允差±10%。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7.治疗时间：0～60min，步进1min，允差±5%。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8.治疗提示音：治疗结束有提示音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9.输出电压：电容模式最大输出电压有效值 450V,电阻模式最大输出电压有效值 100V，允差±10%。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10.输出电流范围：电阻模式 0～1000mA,电容模式 0～450mA,允差±10%。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11.人机交互：彩色触摸显示屏，实时显示功率、电流、阻抗、治疗时间等参数。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12.具有不少于2种治疗模式，电容电阻治疗模式可切换，功率、治疗时间可设置。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13.输出通道：不少于3种输出通道接口，每一种通道工作模式不同，包含中性电极输出通道。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14.负载阻抗测量：0～2000Ω±10%。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▲治疗处方：不少于20个，包含各10个治疗区域的电容模式和电阻模式治疗方案，分别为：颈肩部、躯干、腹部、腕关节、手臂、腿部、膝关节、踝关节、足底、面部；可使用默认处方也可自定义处方。(提供检验报告、技术要求、说明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16.治疗过程中可以实时显示治疗电流、治疗功率、人体阻抗及治疗强度的实时变化值。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17.治疗仪能够实时显示输出电流幅值随时间变化的曲线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18.具有电流检测和过流保护功能。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19.具有电极线脱落检测功能：治疗电极线没有连接或工作不正常时，屏幕出现提示弹窗，并需要用户确认无问题后，才可再次使用。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20.多种治疗电极，适用不同患者部位，方便使用。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21.治疗电极：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电容治疗头≥4个：圆形电极 直径C30mm、C40mm、C55mm、C65mm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电阻治疗头≥4个：圆形电极 直径R35mm、R50mm、R65mm，手环电极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中性电极≥3个：长方形平板电极（大/小各一）、圆柱形手握电极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22.电机线尺寸：1800mm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23.立式台车配备可锁定万向脚轮，配有抽屉方便存放配件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24.产品已获得NMPA认证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25.产品使用年限：10年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26.产品通过电磁兼容、性能、安规检测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二、适用范围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适用于急慢性关节损伤引起的疼痛、肌肉痉挛的康复治疗。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2、电源线1条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3、使用说明书1本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4、合格证1本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5、治疗电极（电容治疗电极和电阻治疗电极）1套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6、中性电极（手握电极和中性平板电极）1套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7、治疗手柄和电极线1套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DBA9">
            <w:pPr>
              <w:keepNext w:val="0"/>
              <w:keepLines w:val="0"/>
              <w:widowControl/>
              <w:suppressLineNumbers w:val="0"/>
              <w:tabs>
                <w:tab w:val="left" w:pos="304"/>
              </w:tabs>
              <w:jc w:val="left"/>
              <w:textAlignment w:val="center"/>
              <w:rPr>
                <w:rFonts w:hint="default" w:ascii="宋体" w:hAnsi="宋体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  <w:lang w:eastAsia="zh-CN"/>
              </w:rPr>
              <w:tab/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</w:tr>
      <w:tr w14:paraId="798E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EE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0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2F4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1.河南优德/YD-SW800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2.河南盛昌/SC-CJ-1000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3.珠海黑马/S1型</w:t>
            </w:r>
          </w:p>
        </w:tc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8B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1.尺寸：长：465mm，宽：450mm，高：220mm。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2.额定输入功率：430VA。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3.单通道输出。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4.治疗输出压力范围0～500kPa可调，0～50kPa时步进50kPa,50kPa～500kPa步进10kPa；误差应不超出±10%。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5.治疗头种类：≥7种，10mm针刺型、13mm经典型、15mm发散型、15mm聚焦型、15mm经典、20mm复合型、36mm经典型、4.5mm针刺型。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6.单个手柄重量：≤0.9kg，治疗手柄轻巧，设计符合人体工程学，具有防滑圈和减震功能。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7.▲治疗头最大穿透深度：60mm，允差±20%。（提供检验报告、技术要求、说明书）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8.▲治疗头最大能量密度：9.4mJ/mm2，允差±20%。（提供检验报告、技术要求、说明书）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9.治疗头碰撞频率设定范围为0.5Hz～21Hz可调，0.5Hz～1Hz步长0.1Hz,1Hz～21Hz步长1Hz,允差：±10%。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10.治疗头碰撞次数设定范围为1次～9900次且能够计数显示，1次～10次步长1次，10次～100次步长10，100次以上步长100,允差：±5%。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11.输出压力波的脉宽为200μs,允差：±10%。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12.管路耐压：大于750kPa。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13.操作界面：8寸触控液晶屏。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14.数据传输：物联网。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15.具有记录子弹体与治疗头总的碰撞次数功能。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16.设备具有过压安全装置，保证供给压力控制装置失效时，所连接的系统压力不超过550kPa。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17.▲治疗头的使用寿命不小于2000000次；（提供检验报告、技术要求、说明书）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18.治疗头外表面具有良好的耐腐蚀性能。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19.通过液晶界面可以对工作压力、碰撞频率、碰撞次数参数显示、设置或调节。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20.气压不足提示功能。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21.智能化管理系统，自动检测手柄连接状态。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22.治疗头金属部分可在135℃高温高压下消毒。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23.治疗头材料具有生物相容性报告。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24.系统内置VAS疼痛评估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25.手柄具有控制按键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26.具有对压缩空气除水并自动排放功能。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27.压缩机排量：4-24L/min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28.产品已获得NMPA认证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29.产品具有过电流、过电压保护功能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30.产品通过电磁兼容、性能、安规检测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31.产品使用年限：10年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32.生产厂家通过环境管理体系认证和职业健康安全管理体系认证。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33.生产厂家通过IAF、CNAS认可的ISO9001、13485医疗器械质量管理体系认证。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34.生产厂家具有五星级售后服务认证证书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35.适用于骨关节周围软组织病变（如肩周炎、网球肘、足底筋膜炎）引起疼痛的辅助治疗。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1、YD-SW800体外冲击波治疗仪主机   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2、铝箱   1个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2.1体外冲击波治疗手柄  1套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2.2治疗头≥7种，每种一个（10mm针刺型、13mm经典型、15mm发散型、15mm聚焦型15mm经典、20mm复合型、36mm经典型、4.5mm针刺型）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2.3导气管   1根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2.4子弹   1个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 U盘    1个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3、电源线   1根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4、使用说明书  1本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5、合格证     1张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6、设备保养卡  1张                      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2C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DDE0E91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合计（大写：人民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XXXXXX 万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元整）</w:t>
            </w:r>
          </w:p>
        </w:tc>
        <w:tc>
          <w:tcPr>
            <w:tcW w:w="11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27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（小写）¥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XXXX 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元</w:t>
            </w:r>
          </w:p>
        </w:tc>
      </w:tr>
      <w:tr w14:paraId="7B5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02C0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二、商务要求</w:t>
            </w:r>
          </w:p>
        </w:tc>
      </w:tr>
      <w:tr w14:paraId="4457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984610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质保期</w:t>
            </w:r>
          </w:p>
        </w:tc>
        <w:tc>
          <w:tcPr>
            <w:tcW w:w="4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7C8A6A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例：</w:t>
            </w:r>
          </w:p>
          <w:p w14:paraId="70372B4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年的免费质保及软件免费升级服务（分项货物要求中有特别注明的，按特别注明的执行）。</w:t>
            </w:r>
          </w:p>
          <w:p w14:paraId="0F65DD72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74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EA1FD2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报价说明</w:t>
            </w:r>
          </w:p>
        </w:tc>
        <w:tc>
          <w:tcPr>
            <w:tcW w:w="4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5F440C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报</w:t>
            </w:r>
            <w:r>
              <w:rPr>
                <w:rFonts w:ascii="宋体" w:hAnsi="宋体" w:cs="宋体"/>
                <w:color w:val="auto"/>
              </w:rPr>
              <w:t>价为采购人指定地点的现场</w:t>
            </w:r>
            <w:r>
              <w:rPr>
                <w:rFonts w:hint="eastAsia" w:ascii="宋体" w:hAnsi="宋体" w:cs="宋体"/>
                <w:color w:val="auto"/>
              </w:rPr>
              <w:t>交付价格</w:t>
            </w:r>
            <w:r>
              <w:rPr>
                <w:rFonts w:ascii="宋体" w:hAnsi="宋体" w:cs="宋体"/>
                <w:color w:val="auto"/>
              </w:rPr>
              <w:t>，包括但不限于：</w:t>
            </w:r>
          </w:p>
          <w:p w14:paraId="285EA3D5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1）</w:t>
            </w:r>
            <w:r>
              <w:rPr>
                <w:rFonts w:hint="eastAsia" w:ascii="宋体" w:hAnsi="宋体" w:cs="宋体"/>
                <w:color w:val="auto"/>
              </w:rPr>
              <w:t>采购内容中所有</w:t>
            </w:r>
            <w:r>
              <w:rPr>
                <w:rFonts w:ascii="宋体" w:hAnsi="宋体" w:cs="宋体"/>
                <w:color w:val="auto"/>
              </w:rPr>
              <w:t>货物</w:t>
            </w:r>
            <w:r>
              <w:rPr>
                <w:rFonts w:hint="eastAsia" w:ascii="宋体" w:hAnsi="宋体" w:cs="宋体"/>
                <w:color w:val="auto"/>
              </w:rPr>
              <w:t>和</w:t>
            </w:r>
            <w:r>
              <w:rPr>
                <w:rFonts w:ascii="宋体" w:hAnsi="宋体" w:cs="宋体"/>
                <w:color w:val="auto"/>
              </w:rPr>
              <w:t>服务的价格；</w:t>
            </w:r>
          </w:p>
          <w:p w14:paraId="3B6B0CC9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2）货物的标准附件、备品备件、专用工具的价格；</w:t>
            </w:r>
          </w:p>
          <w:p w14:paraId="742111A6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3）运输、装卸、</w:t>
            </w:r>
            <w:r>
              <w:rPr>
                <w:rFonts w:hint="eastAsia" w:ascii="宋体" w:hAnsi="宋体" w:cs="宋体"/>
                <w:color w:val="auto"/>
              </w:rPr>
              <w:t>安装（含安装材料）、</w:t>
            </w:r>
            <w:r>
              <w:rPr>
                <w:rFonts w:ascii="宋体" w:hAnsi="宋体" w:cs="宋体"/>
                <w:color w:val="auto"/>
              </w:rPr>
              <w:t>调试、培训、技术支持、售后服务</w:t>
            </w:r>
            <w:r>
              <w:rPr>
                <w:rFonts w:hint="eastAsia" w:ascii="宋体" w:hAnsi="宋体" w:cs="宋体"/>
                <w:color w:val="auto"/>
              </w:rPr>
              <w:t>的费用，</w:t>
            </w:r>
            <w:r>
              <w:rPr>
                <w:rFonts w:ascii="宋体" w:hAnsi="宋体" w:cs="宋体"/>
                <w:color w:val="auto"/>
              </w:rPr>
              <w:t>质保期内免费</w:t>
            </w:r>
            <w:r>
              <w:rPr>
                <w:rFonts w:hint="eastAsia" w:ascii="宋体" w:hAnsi="宋体" w:cs="宋体"/>
                <w:color w:val="auto"/>
              </w:rPr>
              <w:t>维修、养</w:t>
            </w:r>
            <w:r>
              <w:rPr>
                <w:rFonts w:ascii="宋体" w:hAnsi="宋体" w:cs="宋体"/>
                <w:color w:val="auto"/>
              </w:rPr>
              <w:t>护</w:t>
            </w:r>
            <w:r>
              <w:rPr>
                <w:rFonts w:hint="eastAsia" w:ascii="宋体" w:hAnsi="宋体" w:cs="宋体"/>
                <w:color w:val="auto"/>
              </w:rPr>
              <w:t>、软件升级</w:t>
            </w:r>
            <w:r>
              <w:rPr>
                <w:rFonts w:ascii="宋体" w:hAnsi="宋体" w:cs="宋体"/>
                <w:color w:val="auto"/>
              </w:rPr>
              <w:t>等费用；</w:t>
            </w:r>
          </w:p>
          <w:p w14:paraId="528761AE">
            <w:pPr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</w:rPr>
              <w:t>4）必要的保险</w:t>
            </w:r>
            <w:r>
              <w:rPr>
                <w:rFonts w:hint="eastAsia" w:ascii="宋体" w:hAnsi="宋体" w:cs="宋体"/>
                <w:color w:val="auto"/>
              </w:rPr>
              <w:t>、检测</w:t>
            </w:r>
            <w:r>
              <w:rPr>
                <w:rFonts w:ascii="宋体" w:hAnsi="宋体" w:cs="宋体"/>
                <w:color w:val="auto"/>
              </w:rPr>
              <w:t>费用和各项税费</w:t>
            </w:r>
            <w:r>
              <w:rPr>
                <w:rFonts w:hint="eastAsia" w:ascii="宋体" w:hAnsi="宋体" w:cs="宋体"/>
                <w:color w:val="auto"/>
              </w:rPr>
              <w:t>等。</w:t>
            </w:r>
          </w:p>
        </w:tc>
      </w:tr>
      <w:tr w14:paraId="1BA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35FA9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质保期</w:t>
            </w:r>
          </w:p>
        </w:tc>
        <w:tc>
          <w:tcPr>
            <w:tcW w:w="4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25BDA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b/>
                <w:color w:val="auto"/>
              </w:rPr>
              <w:t>1.</w:t>
            </w:r>
            <w:r>
              <w:rPr>
                <w:rFonts w:hint="eastAsia" w:ascii="宋体" w:hAnsi="宋体" w:cs="宋体"/>
                <w:b/>
                <w:color w:val="auto"/>
              </w:rPr>
              <w:t>质保期</w:t>
            </w:r>
            <w:r>
              <w:rPr>
                <w:rFonts w:hint="eastAsia" w:ascii="宋体" w:hAnsi="宋体" w:cs="宋体"/>
                <w:b/>
                <w:color w:val="auto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color w:val="auto"/>
              </w:rPr>
              <w:t>年。</w:t>
            </w:r>
            <w:r>
              <w:rPr>
                <w:rFonts w:hint="eastAsia" w:ascii="宋体" w:hAnsi="宋体" w:cs="宋体"/>
                <w:color w:val="auto"/>
              </w:rPr>
              <w:t>（分项货物服务要求中有特别注明的，按特别注明的执行）</w:t>
            </w:r>
          </w:p>
          <w:p w14:paraId="138A28DE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2.所有货物服务</w:t>
            </w:r>
            <w:r>
              <w:rPr>
                <w:rFonts w:ascii="宋体" w:hAnsi="宋体" w:cs="宋体"/>
                <w:color w:val="auto"/>
              </w:rPr>
              <w:t>按</w:t>
            </w:r>
            <w:r>
              <w:rPr>
                <w:rFonts w:hint="eastAsia" w:ascii="宋体" w:hAnsi="宋体" w:cs="宋体"/>
                <w:color w:val="auto"/>
              </w:rPr>
              <w:t>国家</w:t>
            </w:r>
            <w:r>
              <w:rPr>
                <w:rFonts w:ascii="宋体" w:hAnsi="宋体" w:cs="宋体"/>
                <w:color w:val="auto"/>
              </w:rPr>
              <w:t>“三包”</w:t>
            </w:r>
            <w:r>
              <w:rPr>
                <w:rFonts w:hint="eastAsia" w:ascii="宋体" w:hAnsi="宋体" w:cs="宋体"/>
                <w:color w:val="auto"/>
              </w:rPr>
              <w:t>有关</w:t>
            </w:r>
            <w:r>
              <w:rPr>
                <w:rFonts w:ascii="宋体" w:hAnsi="宋体" w:cs="宋体"/>
                <w:color w:val="auto"/>
              </w:rPr>
              <w:t>规定执行“三包”</w:t>
            </w:r>
            <w:r>
              <w:rPr>
                <w:rFonts w:hint="eastAsia" w:ascii="宋体" w:hAnsi="宋体" w:cs="宋体"/>
                <w:color w:val="auto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4475D23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年的免费质保及软件免费升级服务（分项货物要求中有特别注明的，按特别注明的执行）。</w:t>
            </w:r>
          </w:p>
          <w:p w14:paraId="716C1DDB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D808DEA">
            <w:pPr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（填写按照上述报价，供方可承诺给采购方的</w:t>
            </w:r>
            <w:r>
              <w:rPr>
                <w:rFonts w:hint="eastAsia" w:asciiTheme="minorEastAsia" w:hAnsiTheme="minorEastAsia" w:eastAsiaTheme="minorEastAsia"/>
                <w:b/>
                <w:color w:val="auto"/>
              </w:rPr>
              <w:t>最长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质保期或服务期）</w:t>
            </w:r>
          </w:p>
        </w:tc>
      </w:tr>
      <w:tr w14:paraId="552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57FB"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产品及售后服务要求</w:t>
            </w:r>
          </w:p>
        </w:tc>
        <w:tc>
          <w:tcPr>
            <w:tcW w:w="4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D3E2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交付的所有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设备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必须是签订合同之日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前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color w:val="auto"/>
                <w:u w:val="single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u w:val="single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年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内生产的产品。</w:t>
            </w:r>
          </w:p>
          <w:p w14:paraId="0FFB084B">
            <w:pPr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</w:rPr>
              <w:t>所有货物仅接受现场交付，不接受邮递。</w:t>
            </w:r>
          </w:p>
          <w:p w14:paraId="7EEA66C5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3.为采购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提供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产品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操作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、维修、日常养护等方面的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培训，确保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采购方使用人员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能独立操作使用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，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培训人数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、时间、地点等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由采购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人指定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。</w:t>
            </w:r>
          </w:p>
          <w:p w14:paraId="3DD10904">
            <w:pPr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4.故障响应时间：在使用过程中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出现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质量问题，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在接到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采购人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通知后1小时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作出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响应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；如需到达现场解决的，在4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小时内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应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到达现场。</w:t>
            </w:r>
          </w:p>
          <w:p w14:paraId="3853A5EE">
            <w:pPr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5.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供货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、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安装过程中产生的残留物或垃圾，</w:t>
            </w:r>
            <w:r>
              <w:rPr>
                <w:rFonts w:hint="eastAsia" w:cs="宋体" w:asciiTheme="minorEastAsia" w:hAnsiTheme="minorEastAsia" w:eastAsiaTheme="minorEastAsia"/>
                <w:color w:val="auto"/>
              </w:rPr>
              <w:t>成交人需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自行清理至校外。</w:t>
            </w:r>
          </w:p>
        </w:tc>
      </w:tr>
      <w:tr w14:paraId="54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7F22E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</w:rPr>
              <w:t>交付时间</w:t>
            </w:r>
          </w:p>
        </w:tc>
        <w:tc>
          <w:tcPr>
            <w:tcW w:w="42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C09DDD">
            <w:pPr>
              <w:rPr>
                <w:rFonts w:ascii="宋体" w:hAnsi="宋体" w:cs="宋体"/>
                <w:color w:val="auto"/>
                <w:spacing w:val="-2"/>
              </w:rPr>
            </w:pPr>
            <w:r>
              <w:rPr>
                <w:rFonts w:ascii="宋体" w:hAnsi="宋体" w:cs="宋体"/>
                <w:color w:val="auto"/>
                <w:spacing w:val="-2"/>
              </w:rPr>
              <w:t>1.交</w:t>
            </w:r>
            <w:r>
              <w:rPr>
                <w:rFonts w:hint="eastAsia" w:ascii="宋体" w:hAnsi="宋体" w:cs="宋体"/>
                <w:color w:val="auto"/>
                <w:spacing w:val="-2"/>
              </w:rPr>
              <w:t>付</w:t>
            </w:r>
            <w:r>
              <w:rPr>
                <w:rFonts w:ascii="宋体" w:hAnsi="宋体" w:cs="宋体"/>
                <w:color w:val="auto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color w:val="auto"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u w:val="single"/>
                <w:lang w:val="en-US" w:eastAsia="zh-CN"/>
              </w:rPr>
              <w:t>2</w:t>
            </w:r>
            <w:r>
              <w:rPr>
                <w:rFonts w:ascii="宋体" w:hAnsi="宋体" w:cs="宋体"/>
                <w:b/>
                <w:color w:val="auto"/>
                <w:spacing w:val="-2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color w:val="auto"/>
                <w:spacing w:val="-2"/>
              </w:rPr>
              <w:t>日历日</w:t>
            </w:r>
            <w:r>
              <w:rPr>
                <w:rFonts w:hint="eastAsia" w:ascii="宋体" w:hAnsi="宋体" w:cs="宋体"/>
                <w:color w:val="auto"/>
                <w:spacing w:val="-2"/>
              </w:rPr>
              <w:t>内全部交付完成并验收合格。</w:t>
            </w:r>
          </w:p>
          <w:p w14:paraId="2FF28292">
            <w:pPr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2.交</w:t>
            </w:r>
            <w:r>
              <w:rPr>
                <w:rFonts w:hint="eastAsia" w:ascii="宋体" w:hAnsi="宋体" w:cs="宋体"/>
                <w:color w:val="auto"/>
              </w:rPr>
              <w:t>付</w:t>
            </w:r>
            <w:r>
              <w:rPr>
                <w:rFonts w:ascii="宋体" w:hAnsi="宋体" w:cs="宋体"/>
                <w:color w:val="auto"/>
              </w:rPr>
              <w:t>地点：广西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  <w:color w:val="auto"/>
              </w:rPr>
              <w:t>大学</w:t>
            </w:r>
            <w:r>
              <w:rPr>
                <w:rFonts w:ascii="宋体" w:hAnsi="宋体" w:cs="宋体"/>
                <w:color w:val="auto"/>
              </w:rPr>
              <w:t>。</w:t>
            </w:r>
          </w:p>
          <w:p w14:paraId="36E79116">
            <w:pPr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（填写供方可承诺的</w:t>
            </w:r>
            <w:r>
              <w:rPr>
                <w:rFonts w:hint="eastAsia" w:asciiTheme="minorEastAsia" w:hAnsiTheme="minorEastAsia" w:eastAsiaTheme="minorEastAsia"/>
                <w:b/>
                <w:color w:val="auto"/>
              </w:rPr>
              <w:t>最短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交付期）</w:t>
            </w:r>
          </w:p>
        </w:tc>
      </w:tr>
      <w:tr w14:paraId="1D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47E4A9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三、其它</w:t>
            </w:r>
          </w:p>
        </w:tc>
      </w:tr>
      <w:tr w14:paraId="7D3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1A187F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对上述内容进行补充</w:t>
            </w:r>
          </w:p>
        </w:tc>
      </w:tr>
    </w:tbl>
    <w:p w14:paraId="2ED1E6B5">
      <w:pPr>
        <w:rPr>
          <w:rFonts w:ascii="宋体" w:hAnsi="宋体" w:cs="仿宋"/>
          <w:bCs/>
          <w:color w:val="auto"/>
        </w:rPr>
      </w:pPr>
      <w:r>
        <w:rPr>
          <w:rFonts w:hint="eastAsia" w:ascii="宋体" w:hAnsi="宋体" w:cs="仿宋"/>
          <w:color w:val="auto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ascii="宋体" w:hAnsi="宋体" w:cs="仿宋"/>
          <w:bCs/>
          <w:color w:val="auto"/>
        </w:rPr>
      </w:pPr>
    </w:p>
    <w:p w14:paraId="7E989CBC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供应商全称：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法定代表人或委托代理人：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供应商地址：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ab/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供应商联系方式：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（联系人、联系电话）</w:t>
      </w:r>
    </w:p>
    <w:p w14:paraId="4D18C113">
      <w:pPr>
        <w:spacing w:line="360" w:lineRule="auto"/>
        <w:rPr>
          <w:rFonts w:ascii="宋体" w:hAnsi="宋体" w:cs="宋体"/>
          <w:color w:val="auto"/>
          <w:sz w:val="28"/>
          <w:szCs w:val="28"/>
        </w:rPr>
      </w:pPr>
    </w:p>
    <w:p w14:paraId="087B0DA0">
      <w:pPr>
        <w:widowControl/>
        <w:spacing w:line="360" w:lineRule="auto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1336206"/>
    <w:rsid w:val="083A0C0C"/>
    <w:rsid w:val="09A1725A"/>
    <w:rsid w:val="0DC83A03"/>
    <w:rsid w:val="134649AD"/>
    <w:rsid w:val="15634837"/>
    <w:rsid w:val="18E74E78"/>
    <w:rsid w:val="18EC78F1"/>
    <w:rsid w:val="1AAB6848"/>
    <w:rsid w:val="23B549EA"/>
    <w:rsid w:val="24E827B1"/>
    <w:rsid w:val="25D65498"/>
    <w:rsid w:val="25F60DA0"/>
    <w:rsid w:val="294468A4"/>
    <w:rsid w:val="2A7B6999"/>
    <w:rsid w:val="2ECE2879"/>
    <w:rsid w:val="2F8554FA"/>
    <w:rsid w:val="46B75DE7"/>
    <w:rsid w:val="4C1B3482"/>
    <w:rsid w:val="503A2557"/>
    <w:rsid w:val="51764462"/>
    <w:rsid w:val="52341B70"/>
    <w:rsid w:val="539634A3"/>
    <w:rsid w:val="55502150"/>
    <w:rsid w:val="55FB2F9D"/>
    <w:rsid w:val="61DD7159"/>
    <w:rsid w:val="63BE24D9"/>
    <w:rsid w:val="67984888"/>
    <w:rsid w:val="6FA125FF"/>
    <w:rsid w:val="6FE139C0"/>
    <w:rsid w:val="724E1555"/>
    <w:rsid w:val="730409E5"/>
    <w:rsid w:val="7312459B"/>
    <w:rsid w:val="7970564B"/>
    <w:rsid w:val="79D5604D"/>
    <w:rsid w:val="7E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470</Words>
  <Characters>515</Characters>
  <Lines>0</Lines>
  <Paragraphs>0</Paragraphs>
  <TotalTime>3</TotalTime>
  <ScaleCrop>false</ScaleCrop>
  <LinksUpToDate>false</LinksUpToDate>
  <CharactersWithSpaces>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观光休闲</cp:lastModifiedBy>
  <cp:lastPrinted>2025-06-17T07:33:00Z</cp:lastPrinted>
  <dcterms:modified xsi:type="dcterms:W3CDTF">2026-05-15T06:52:43Z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AE4F77C17376412B8D851E8A59BAC373_13</vt:lpwstr>
  </property>
  <property fmtid="{D5CDD505-2E9C-101B-9397-08002B2CF9AE}" pid="4" name="KSOTemplateDocerSaveRecord">
    <vt:lpwstr>eyJoZGlkIjoiYzk1NmEyYzkzNDllOWE2ZWE3YzQ2NGJiOGNjOTQyMTkiLCJ1c2VySWQiOiI0MDU1MjY4MTUifQ==</vt:lpwstr>
  </property>
</Properties>
</file>