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C7D16">
      <w:pPr>
        <w:keepNext w:val="0"/>
        <w:keepLines w:val="0"/>
        <w:widowControl/>
        <w:suppressLineNumbers w:val="0"/>
        <w:spacing w:after="75" w:afterAutospacing="0"/>
        <w:ind w:left="0" w:firstLine="0"/>
        <w:jc w:val="center"/>
      </w:pPr>
      <w:r>
        <w:rPr>
          <w:rFonts w:hint="eastAsia" w:ascii="微软雅黑" w:hAnsi="微软雅黑" w:eastAsia="微软雅黑" w:cs="微软雅黑"/>
          <w:b/>
          <w:bCs/>
          <w:i w:val="0"/>
          <w:iCs w:val="0"/>
          <w:caps w:val="0"/>
          <w:color w:val="auto"/>
          <w:spacing w:val="0"/>
          <w:kern w:val="0"/>
          <w:sz w:val="36"/>
          <w:szCs w:val="36"/>
          <w:lang w:val="en-US" w:eastAsia="zh-CN" w:bidi="ar"/>
        </w:rPr>
        <w:t>2025年卫生健康智慧实验室采购项目需求征集公告</w:t>
      </w:r>
      <w:bookmarkStart w:id="0" w:name="_GoBack"/>
      <w:bookmarkEnd w:id="0"/>
    </w:p>
    <w:p w14:paraId="563485A4">
      <w:pPr>
        <w:pStyle w:val="3"/>
        <w:keepNext w:val="0"/>
        <w:keepLines w:val="0"/>
        <w:widowControl/>
        <w:suppressLineNumbers w:val="0"/>
        <w:spacing w:line="420" w:lineRule="atLeast"/>
        <w:jc w:val="left"/>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      附件： </w:t>
      </w:r>
      <w:r>
        <w:rPr>
          <w:rFonts w:hint="eastAsia" w:ascii="微软雅黑" w:hAnsi="微软雅黑" w:eastAsia="微软雅黑" w:cs="微软雅黑"/>
          <w:i w:val="0"/>
          <w:iCs w:val="0"/>
          <w:caps w:val="0"/>
          <w:color w:val="000000"/>
          <w:spacing w:val="0"/>
          <w:sz w:val="24"/>
          <w:szCs w:val="24"/>
        </w:rPr>
        <w:t>需求征集明细表</w:t>
      </w:r>
    </w:p>
    <w:p w14:paraId="30F69880">
      <w:pPr>
        <w:widowControl/>
        <w:spacing w:line="460" w:lineRule="exact"/>
        <w:jc w:val="center"/>
        <w:rPr>
          <w:rFonts w:hint="eastAsia"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需求征集明细表</w:t>
      </w:r>
    </w:p>
    <w:tbl>
      <w:tblPr>
        <w:tblStyle w:val="4"/>
        <w:tblW w:w="52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5"/>
        <w:gridCol w:w="904"/>
        <w:gridCol w:w="1055"/>
        <w:gridCol w:w="4082"/>
        <w:gridCol w:w="278"/>
        <w:gridCol w:w="339"/>
        <w:gridCol w:w="956"/>
        <w:gridCol w:w="974"/>
      </w:tblGrid>
      <w:tr w14:paraId="5BFF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8"/>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B521FC2">
            <w:pPr>
              <w:snapToGrid w:val="0"/>
              <w:spacing w:line="240"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一、技术要求</w:t>
            </w:r>
          </w:p>
        </w:tc>
      </w:tr>
      <w:tr w14:paraId="55E6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CA5D316">
            <w:pPr>
              <w:snapToGrid w:val="0"/>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50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2B28401">
            <w:pPr>
              <w:snapToGrid w:val="0"/>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采购内容</w:t>
            </w:r>
          </w:p>
        </w:tc>
        <w:tc>
          <w:tcPr>
            <w:tcW w:w="591"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DC4E81C">
            <w:pPr>
              <w:snapToGrid w:val="0"/>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品牌型号、生产厂家</w:t>
            </w:r>
          </w:p>
        </w:tc>
        <w:tc>
          <w:tcPr>
            <w:tcW w:w="2287"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C29DADF">
            <w:pPr>
              <w:snapToGrid w:val="0"/>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技术参数</w:t>
            </w:r>
          </w:p>
        </w:tc>
        <w:tc>
          <w:tcPr>
            <w:tcW w:w="155" w:type="pct"/>
            <w:tcBorders>
              <w:top w:val="single" w:color="auto" w:sz="4" w:space="0"/>
              <w:left w:val="single" w:color="auto" w:sz="4" w:space="0"/>
              <w:bottom w:val="single" w:color="auto" w:sz="4" w:space="0"/>
              <w:right w:val="single" w:color="auto" w:sz="4" w:space="0"/>
            </w:tcBorders>
            <w:vAlign w:val="center"/>
          </w:tcPr>
          <w:p w14:paraId="1D64DBA0">
            <w:pPr>
              <w:snapToGrid w:val="0"/>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计量</w:t>
            </w:r>
          </w:p>
          <w:p w14:paraId="7AAFB6FD">
            <w:pPr>
              <w:snapToGrid w:val="0"/>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单位</w:t>
            </w:r>
          </w:p>
        </w:tc>
        <w:tc>
          <w:tcPr>
            <w:tcW w:w="189" w:type="pct"/>
            <w:tcBorders>
              <w:top w:val="single" w:color="auto" w:sz="4" w:space="0"/>
              <w:left w:val="single" w:color="auto" w:sz="4" w:space="0"/>
              <w:bottom w:val="single" w:color="auto" w:sz="4" w:space="0"/>
              <w:right w:val="single" w:color="auto" w:sz="4" w:space="0"/>
            </w:tcBorders>
            <w:vAlign w:val="center"/>
          </w:tcPr>
          <w:p w14:paraId="248295BB">
            <w:pPr>
              <w:snapToGrid w:val="0"/>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数量</w:t>
            </w:r>
          </w:p>
        </w:tc>
        <w:tc>
          <w:tcPr>
            <w:tcW w:w="535" w:type="pct"/>
            <w:tcBorders>
              <w:top w:val="single" w:color="auto" w:sz="4" w:space="0"/>
              <w:left w:val="single" w:color="auto" w:sz="4" w:space="0"/>
              <w:bottom w:val="single" w:color="auto" w:sz="4" w:space="0"/>
              <w:right w:val="single" w:color="auto" w:sz="4" w:space="0"/>
            </w:tcBorders>
            <w:vAlign w:val="center"/>
          </w:tcPr>
          <w:p w14:paraId="32F431E7">
            <w:pPr>
              <w:snapToGrid w:val="0"/>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单价</w:t>
            </w:r>
          </w:p>
          <w:p w14:paraId="647DED10">
            <w:pPr>
              <w:snapToGrid w:val="0"/>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（元）</w:t>
            </w:r>
          </w:p>
        </w:tc>
        <w:tc>
          <w:tcPr>
            <w:tcW w:w="545" w:type="pct"/>
            <w:tcBorders>
              <w:top w:val="single" w:color="auto" w:sz="4" w:space="0"/>
              <w:left w:val="single" w:color="auto" w:sz="4" w:space="0"/>
              <w:bottom w:val="single" w:color="auto" w:sz="4" w:space="0"/>
              <w:right w:val="single" w:color="auto" w:sz="4" w:space="0"/>
            </w:tcBorders>
            <w:vAlign w:val="center"/>
          </w:tcPr>
          <w:p w14:paraId="734C8A8D">
            <w:pPr>
              <w:snapToGrid w:val="0"/>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小计</w:t>
            </w:r>
          </w:p>
          <w:p w14:paraId="62447F41">
            <w:pPr>
              <w:snapToGrid w:val="0"/>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（元）</w:t>
            </w:r>
          </w:p>
        </w:tc>
      </w:tr>
      <w:tr w14:paraId="337B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C3D832B">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50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6C9EA36">
            <w:pPr>
              <w:spacing w:line="240" w:lineRule="auto"/>
              <w:rPr>
                <w:rFonts w:hint="eastAsia" w:ascii="宋体" w:hAnsi="宋体" w:eastAsia="宋体" w:cs="宋体"/>
                <w:b/>
                <w:bCs/>
                <w:color w:val="000000"/>
                <w:sz w:val="21"/>
                <w:szCs w:val="21"/>
              </w:rPr>
            </w:pPr>
            <w:r>
              <w:rPr>
                <w:rFonts w:hint="eastAsia" w:ascii="宋体" w:hAnsi="宋体" w:eastAsia="宋体" w:cs="宋体"/>
                <w:color w:val="000000" w:themeColor="text1"/>
                <w:sz w:val="21"/>
                <w:szCs w:val="21"/>
                <w14:textFill>
                  <w14:solidFill>
                    <w14:schemeClr w14:val="tx1"/>
                  </w14:solidFill>
                </w14:textFill>
              </w:rPr>
              <w:t>健康管理一体机</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DD403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携康K500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东华原DMS-1000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乐加利康HW-T600</w:t>
            </w:r>
          </w:p>
        </w:tc>
        <w:tc>
          <w:tcPr>
            <w:tcW w:w="2287"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F33359C">
            <w:pPr>
              <w:keepNext w:val="0"/>
              <w:keepLines w:val="0"/>
              <w:widowControl/>
              <w:suppressLineNumbers w:val="0"/>
              <w:spacing w:line="240" w:lineRule="auto"/>
              <w:jc w:val="left"/>
              <w:textAlignment w:val="center"/>
              <w:rPr>
                <w:rFonts w:hint="eastAsia" w:ascii="宋体" w:hAnsi="宋体" w:eastAsia="宋体" w:cs="宋体"/>
                <w:b/>
                <w:bCs/>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1、医用全自动血压检测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1.1、测量方法：脉搏波法/示波法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★1.2、测量范围：压力0～300mmHg；脉搏30次/分~200次/分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1.3、测量准确度：压力±2mmHg；脉搏数±2%以内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1.4、超压保护：压力超过300mmHg时，急速排气保护。急速排气时间不大于10秒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1.5、存储容量：可存储100组测量数据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1.6、适合臂周：17cm～42cm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2、身高体重、脂肪检测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2.1、身高测量方式：超声波测量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2.2、体重测量方式：精密平衡梁式压力传感器称重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2.3、身高测量范围：10-200cm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2.4、身高测量精度：±0.1cm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2.5、体重测量范围：1-200kg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2.6、体重测量精度：±0.1kg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2.7、测量速度：≥450次/小时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2.8、自动语音播放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2.9、测量结果：身高、体重、BMI、人体成分（身体脂肪率、基础代谢、体水分率，骨骼肌率，内脏脂肪指数，骨矿含量，细胞外液，细胞内液，总水分，蛋白质，无机盐等含量及综合评测）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3、血氧检测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3.1、测量范围：血氧饱和度35%-100%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3.2、脉搏率：30次/分~250次/分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3.3、在70%～100%范围内，测量误差为±2%；其中测量误差中的“%”为脉搏氧饱和度百分比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4、心电工作站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4.1、标准12导联心电信号同步采集，可切换6导联采集模式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4.2、采集方式：支持USB有线和蓝牙无线两种心电采集方式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4.3、采样率：2000点/秒/通道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4.4、共模抑制比：＞100 dB，开启交流滤波时＞120 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4.5、灵敏度：1.25 mm/mV、2.5 mm/mV、5 mm/mV、10 mm/mV、10/5 mm/mV、20/10 mm/mV、20 mm/mV、40 mm/mV、AGC（自动）增益九个档，转换误差范围不超过±2%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4.6、支持起搏信号检测，起搏波检测灵敏度可调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4.7、具有导联脱落检测与提示功能和心拍提示音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4.8、支持Android和Windows操作系统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4.9、电源供应：支持USB供电（5V）和电池供电（d.c.1.5Vx2）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4.10、防电击程度：CF型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4.11、支持单节律导联和三节律导联自定义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5、红外体温计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5.1、测量范围：人体模式：32.0°C~43.0°℃（89.6°F~109.4°F）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5.2、分辨率：0.1°C/0.1F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5.2、准确度：人体模式：35.0°C~42.0°C±0.2°C（±0.4F）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5.3、提示音：设备开启和准备测量：一声短哔声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测量完成读数＜37.5°C（995F）：一声长音（1秒）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测量完成读数≥37.5°C（995F）：10声短哔声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系统错误或故障：3声短哔声。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5.4、指示灯：当测量完成，读数＜37.5°C（995F）时，绿色指示灯亮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当测量完成，读数≥37.5°C（995F）时，蓝色指示灯亮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5.5、操作环境：人体模式：10.0~40.0℃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5.6、存储环境：﹣20°C~﹢55°C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6、血糖、尿酸、总胆固醇监测系统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6.1、原理：电化学生物感应法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6.2、测量范围：血糖1.1~33.3mmol/L；尿酸0.18~1.19mmol/L；总胆固醇2.59~10.35mmol/L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6.3、需求血量：血糖≤0.7μl；尿酸≤1.5μl；总胆固醇≤10.0μl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6.4、系统正确性：血糖：当血糖浓度＞75mg/dL，不超过±20%；尿酸：当尿酸浓度＞5mg/dL，不超过±20%；总胆固醇：当总胆固醇浓度＞150mg/dL，不超过±20%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7、血脂分析系统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7.1、检测输出值：高密度脂蛋白（HDL）、低密度脂蛋白(LDL)、甘油三脂（TG）、总胆固醇(TC)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7.2、检测原理：酶法、反射光度法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7.3、标本：全血、血清、血浆均可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7.4、需求血量：血脂四项40μl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7.5、检测范围：HDL 0.39-2.59mmol/L；TG 0.57-5.65mmol/L；TC 2.59-10.36mmol/L</w:t>
            </w:r>
          </w:p>
        </w:tc>
        <w:tc>
          <w:tcPr>
            <w:tcW w:w="155" w:type="pct"/>
            <w:tcBorders>
              <w:top w:val="single" w:color="auto" w:sz="4" w:space="0"/>
              <w:left w:val="single" w:color="auto" w:sz="4" w:space="0"/>
              <w:bottom w:val="single" w:color="auto" w:sz="4" w:space="0"/>
              <w:right w:val="single" w:color="auto" w:sz="4" w:space="0"/>
            </w:tcBorders>
            <w:vAlign w:val="center"/>
          </w:tcPr>
          <w:p w14:paraId="096696B6">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i w:val="0"/>
                <w:iCs w:val="0"/>
                <w:color w:val="000000"/>
                <w:sz w:val="21"/>
                <w:szCs w:val="21"/>
                <w:u w:val="none"/>
                <w:lang w:val="en-US" w:eastAsia="zh-CN"/>
              </w:rPr>
              <w:t>台</w:t>
            </w:r>
          </w:p>
        </w:tc>
        <w:tc>
          <w:tcPr>
            <w:tcW w:w="189" w:type="pct"/>
            <w:tcBorders>
              <w:top w:val="single" w:color="auto" w:sz="4" w:space="0"/>
              <w:left w:val="single" w:color="auto" w:sz="4" w:space="0"/>
              <w:bottom w:val="single" w:color="auto" w:sz="4" w:space="0"/>
              <w:right w:val="single" w:color="auto" w:sz="4" w:space="0"/>
            </w:tcBorders>
            <w:vAlign w:val="center"/>
          </w:tcPr>
          <w:p w14:paraId="0029415A">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6A97F1A5">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7B669BB0">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30EF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0F97C9C">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C2CF3E7">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便携式体检一体机</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B97E3B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携康XKZN-D200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东华原DAS-1000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乐加利康Y1</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4FCD0EE">
            <w:pPr>
              <w:keepNext w:val="0"/>
              <w:keepLines w:val="0"/>
              <w:widowControl/>
              <w:suppressLineNumbers w:val="0"/>
              <w:spacing w:line="240" w:lineRule="auto"/>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1.标准检测项目:身份识别、体重、体温、血氧、血压、脉率、心电(12导)、尿常规(11项)、血糖、中医九型体质辨识拓展检测项目:电子腰围、腰臀比、血脂四项、尿酸、血红蛋白、糖化血红蛋白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2.软件功能配置:电子健康档案系统、数据分析系统、健康评估系统、中医体质辨识系统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3.辅 助 功 能 :呼吸训练、心理测试、心理疏导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4.登录方式身份证、手机号、C卡 (医保卡、健康卡、学生卡等)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 连 接机构其它检测设备(B超、血球、生化等)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 对 接:预留API标准接口,可对接HIS、EMR、LIS、公卫、县域医共体等系统、管理后端、移动站</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465C697F">
            <w:pPr>
              <w:keepNext w:val="0"/>
              <w:keepLines w:val="0"/>
              <w:widowControl/>
              <w:suppressLineNumbers w:val="0"/>
              <w:spacing w:line="240" w:lineRule="auto"/>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sz w:val="21"/>
                <w:szCs w:val="21"/>
                <w:u w:val="none"/>
                <w:lang w:val="en-US" w:eastAsia="zh-CN"/>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165584A3">
            <w:pPr>
              <w:keepNext w:val="0"/>
              <w:keepLines w:val="0"/>
              <w:widowControl/>
              <w:suppressLineNumbers w:val="0"/>
              <w:spacing w:line="240" w:lineRule="auto"/>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535" w:type="pct"/>
            <w:tcBorders>
              <w:top w:val="single" w:color="auto" w:sz="4" w:space="0"/>
              <w:left w:val="single" w:color="auto" w:sz="4" w:space="0"/>
              <w:bottom w:val="single" w:color="auto" w:sz="4" w:space="0"/>
              <w:right w:val="single" w:color="auto" w:sz="4" w:space="0"/>
            </w:tcBorders>
            <w:vAlign w:val="center"/>
          </w:tcPr>
          <w:p w14:paraId="6C6A8B6E">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4516DBCD">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511F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66FE20D">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50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B9D3B38">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骨密度检测仪</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09033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品源BMD-A5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科进OSTEOKJ7000A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国康GK-8000</w:t>
            </w:r>
          </w:p>
        </w:tc>
        <w:tc>
          <w:tcPr>
            <w:tcW w:w="2287"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4ACB8C0">
            <w:pPr>
              <w:keepNext w:val="0"/>
              <w:keepLines w:val="0"/>
              <w:widowControl/>
              <w:suppressLineNumbers w:val="0"/>
              <w:spacing w:line="240" w:lineRule="auto"/>
              <w:jc w:val="left"/>
              <w:textAlignment w:val="center"/>
              <w:rPr>
                <w:rFonts w:hint="eastAsia" w:ascii="宋体" w:hAnsi="宋体" w:eastAsia="宋体" w:cs="宋体"/>
                <w:b/>
                <w:bCs/>
                <w:color w:val="000000"/>
                <w:sz w:val="21"/>
                <w:szCs w:val="21"/>
              </w:rPr>
            </w:pPr>
            <w:r>
              <w:rPr>
                <w:rFonts w:hint="eastAsia" w:ascii="宋体" w:hAnsi="宋体" w:eastAsia="宋体" w:cs="宋体"/>
                <w:i w:val="0"/>
                <w:iCs w:val="0"/>
                <w:color w:val="000000"/>
                <w:kern w:val="0"/>
                <w:sz w:val="21"/>
                <w:szCs w:val="21"/>
                <w:u w:val="none"/>
                <w:lang w:val="en-US" w:eastAsia="zh-CN" w:bidi="ar"/>
              </w:rPr>
              <w:t>1、全干式技术，诊断扫查更加方便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2、★超声探头采用美国杜邦技术，探头频率：1.20MHz，72针多点接触（提供实物图片依据）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3、★测量部位：桡骨，胫骨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4、★分析数据：T值、Z值、成人百分比、同龄百分比、骨质指数（BQI）、骨密度骨龄（PAB）、预期发生骨质疏松的年龄（EOA）、骨折风险（RRF）、BMI指数、预测儿童身高。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5、超声声速误差：≤0.15%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6、超声声速测量重复性：≤0.15%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7、★测量时间：单次≤10秒，重复单次≤25秒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8、测量结果自动判断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9、★具有病例统计功能（提供软件截图证明文件）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10、具有病历姓名纠错功能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11、具有一键中英文转换功能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12、具有标准HIS、DICOM 数据接口功能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13、温度质控：有机玻璃试样，温度条形指示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14、日常校准：开机检验，简单方便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15、默认中国人群，可测量0-100岁人群（婴幼年龄段：0-3岁，少年年龄段3-20岁，成人年龄段20--80岁，老年人年龄段80-100岁，只要输入年龄自动识别）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16、温度显示校准块:具有红铜、紫铜、有机玻璃三重校准，校验器可显示当前温度以及当前温度下标准声速值，出厂标准配备有机玻璃模块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17、报告样式：彩色漂亮报告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18、报告版式：能够提供A4、16K、B5等多种尺寸报告单及横竖合理排版方式。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19、计算机平台：原装戴尔商务计算机，保证信号实时处理与分析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20、显示器：戴尔原装21吋高清彩色显示器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21、标配佳能高容量打印机，降低客户使用成本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22、★安全试验符合要：欧盟CE认证（提供相关证明文件）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23、进液防护：整机防水等级IPX0，探头防水等级IPX7</w:t>
            </w:r>
          </w:p>
        </w:tc>
        <w:tc>
          <w:tcPr>
            <w:tcW w:w="155" w:type="pct"/>
            <w:tcBorders>
              <w:top w:val="single" w:color="auto" w:sz="4" w:space="0"/>
              <w:left w:val="single" w:color="auto" w:sz="4" w:space="0"/>
              <w:bottom w:val="single" w:color="auto" w:sz="4" w:space="0"/>
              <w:right w:val="single" w:color="auto" w:sz="4" w:space="0"/>
            </w:tcBorders>
            <w:vAlign w:val="center"/>
          </w:tcPr>
          <w:p w14:paraId="438BC79F">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vAlign w:val="center"/>
          </w:tcPr>
          <w:p w14:paraId="79A2A57B">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37786082">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010FE599">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6281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BE1C790">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BBD2A37">
            <w:pPr>
              <w:snapToGrid w:val="0"/>
              <w:spacing w:line="24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动脉硬化检测仪</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C40C1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宝兴BX-5100B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康泰AE1000A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康的KD300</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C6773B0">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 脉搏：脉率范围 0～230bpm；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血压参数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 收缩压    6.7kPa～32.0kPa (50mmHg～240mmHg)；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 舒张压    4.0kPa～24.0kPa (30mmHg～180mmHg)；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 误差      ±1kPa或8mmHg。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 脉搏传导速度（PWV）0～2000cm/sec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PWV测量：（左上臂、右上臂、左下肢、右下肢）同步显示测量。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踝臂指数(ABI)0.2～1.8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ABI（踝-臂指数）：采用震荡示波法分步测量血压。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能对四肢测定下列参数：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（1）同步显示（左上臂、右上臂、左下肢、右下肢）四肢的脉动波形，并进行处理，获得脉搏波传导速度PWV；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（2）四肢（左上臂、右上臂、左下肢、右下肢）血压，臂间压差，腿间压差；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（3）ABI（踝臂指数）。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病例查询功能；有四种查询方式（可按姓名，年龄，门诊号，检查日期）。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可调节式检测方式:四肢同步检测、单侧检测、单肢检测供用户选择。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临床数据统计：ABI统计，PWV统计；方便医生进行学术研究。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病历导入、导出功能：可以存放任意位置，能够生成EXCEL专业表格。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报告单：全中文彩色报告单和黑白报告单两种方式选择，报告单可以随时保存成图片格式。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动脉硬化检测V1.0系统软件：中文彩色图文报告系统，功能强，易操作。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存储图像：采用图像处理软件，可对图像采集、放大、存储、标识等，装置图像存储数量≥1000000幅，显示分辨率1024×768，视频图像采集格式24bit 32bitRGB。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激光打印机 A4打印纸。</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33D05706">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4C0F0ED6">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2BC7888C">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0AA8798D">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7CF0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5F6FEF4">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03B4FA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精神压力分析仪</w:t>
            </w:r>
          </w:p>
          <w:p w14:paraId="4AF8FF7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（心率变异性检测仪）</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DC8A1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东华原</w:t>
            </w:r>
            <w:r>
              <w:rPr>
                <w:rStyle w:val="10"/>
                <w:lang w:val="en-US" w:eastAsia="zh-CN" w:bidi="ar"/>
              </w:rPr>
              <w:t>DHD-6000</w:t>
            </w:r>
            <w:r>
              <w:rPr>
                <w:rStyle w:val="10"/>
                <w:lang w:val="en-US" w:eastAsia="zh-CN" w:bidi="ar"/>
              </w:rPr>
              <w:br w:type="textWrapping"/>
            </w:r>
            <w:r>
              <w:rPr>
                <w:rStyle w:val="10"/>
                <w:lang w:val="en-US" w:eastAsia="zh-CN" w:bidi="ar"/>
              </w:rPr>
              <w:t>鸿泰盛CREDID</w:t>
            </w:r>
            <w:r>
              <w:rPr>
                <w:rStyle w:val="10"/>
                <w:lang w:val="en-US" w:eastAsia="zh-CN" w:bidi="ar"/>
              </w:rPr>
              <w:br w:type="textWrapping"/>
            </w:r>
            <w:r>
              <w:rPr>
                <w:rStyle w:val="10"/>
                <w:lang w:val="en-US" w:eastAsia="zh-CN" w:bidi="ar"/>
              </w:rPr>
              <w:t>美迪克HRV</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D1E9AF9">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（一）心率变异性检测：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1、通过心率变异的波形图、直方图、复杂度图形来综合评估自主神经的活性。横坐标、纵坐标及测量值均有数值进行标注。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2、通过交感神经系统、副交感神经系统的柱形图，来评估自主神经系统的平衡。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★3、通过不同的色块区间、四个象限区分，来综合评估自主神经系统的稳定性，并且用双标线进行区间分隔标注出理想的ANS平衡区域。横坐标、纵坐标及测量值均有数值进行标注。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4、利用傅里叶转换（FFT方法）将心率变异波形图转化为能量光谱密度图，并以柱状图的形式来分析总能量TP、极低频VLF、低频LF、高频HF，用于评估自主神经活性的调节能力和心脏的稳定性。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5、历史记录表：打印输出心率、SDNN、RMSSD、TP、LF、HF、LF/HF七项指标的近6次测量结果，并且计算出平均值。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（二）精神压力分析：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1、输出图示化压力分析、心脏分析、自主神经功能分析和检测建议。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2、压力分析包括抗压能力、压力指数、疲劳指数，提供测量值、正常范围和五阶色彩图示。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3、心脏分析包括平均心率、稳定性和异常心率，以及波形平稳度。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4、输出自主神经功能分析的活性、平衡和稳定性。活性、平衡提供测量值、正常范围，并用五阶色彩进行图示。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5、检测建议可在检测现场即时进行编辑。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（三）时域频域分析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1、时域分析：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1）Mean HR、SDNN、RMSSD、NN50、pNN50、SRD、ApEn、（平均心率、心率标准差、心率变异均方根、RR间期大于50ms计数、NN50占总间期数百分比、准确度、近似熵）。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★2）异常心率和波形平稳度，并标注出正常参数范围。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2、频域分析：TP、LF、HF、LF/HF、VLF、normLF、normHF（总能量、低频、高频、低频高频比例、极低频、低频标准值、高频标准值）。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★3、输出时频参数分析报告，提供参数范围及相关指标解析。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（四）报告输出与查询：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★1、输出五张报告包括心率变异报告、精神压力分析报告、时频参数报告以及报告解析内容等（提供报告样式）。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2、支持编号、姓名、测量日期、性别、科室、住院号等五项信息查询。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3、可查看压力分析报告记录包括压力指数、抗压能力、疲劳指数、平均心率、心脏稳定性分析和异常心率等。</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60F62980">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22C80E62">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2FB11A68">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5A5A92F0">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7010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D0870B8">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AA304A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健康管理情景模拟沙盘对抗比赛平台软件</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00986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星脉WBP-02A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新玛12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聚慕ACF-D1</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CF91E3A">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第一部分：技术要求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1.B/S架构，支持至少200人并发访问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2.服务器系统:Windows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3.使用的技术或架构:java8、mysql5.7、springboot、redis、rabbitMQ、html5、css3、Vue3;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第二部分：功能要求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1.软件中包含管理员、教师、学生三种账号角色，不同角色的管理权限不同，管理员端至少包含用户管理、班级管理、实验管理、自定义案例等功能模块；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2.教师端支持班级信息、学生信息编辑、导入和删除。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教师支持自定义社区、自定义案例、数据库的管理功能。不仅可以对现有的社区进行修改案例资料、答案、知识考点、解析等，还可以创建社区，设立社区机构，其中社区机构必须包括健康管理中心、医院、体检中心等常见的健康管理机构，教师可以根据教学需要选择是否开启某个健康管理机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4.教师支持自定义增加或修改方案设计模块的问题内容、评分维度和维度权重，问题包括文字题和视频题这两种形式；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5.教师支持在线对各团队方案设计报告查看、评分和下载操作；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6.实验分配可对班级学生进行分组实验，锻炼学生团结协助能力，学生初次进入实验可以设置团队名称，增加实验的趣味性；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根据实验课程安排，创建实验可以灵活选择实验期数，最多支持分配5期实验，教师可以任意设置每期的实验时长、系统模拟的实验周期、分期、每期得分权重等指标。在评分系统设置中教师可以根据课程考核要求设置竞争性健康得分权重、知识考点权重、操作准确度权重和医疗占比权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实训模拟至少包括健康管理中心、医院、体检中心三个不同职能健康机构管理，并支持自定义新增其他机构。健康管理中心包含：健康档案、健康评估、健康指导、健康干预、监测随访功能（已配置），并支持其他的功能点的高度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9.数据库包括图示管理、指标管理、查看指标、操作指标、判断指标、制定方案、风险模型、突发事件、人物管理、方案设计、知识考点；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10.健康干预包含：制定饮食干预方案、计算饮食摄入热量、制定运动处方、心理干预、戒烟限酒方案、治疗方案干预；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11.健康管理中心可实现对案例的健康管理、购买健康保险、转诊功能；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★12.医院机构可以让学生扮演医生的角色对案例进行模拟诊疗，并形成相应诊疗报告。医院机构功能必须包含：查看病历、体格检查、辅助检查、疾病诊断、治疗方案；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13.辅助检查模块提供智能化的开单检查系统，内置十几种常见疾病检查项目；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14.体检中心机构可以让学生对案例进行模拟健康体检，体验健康体检业务流程，并形成健康体检报告；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15.软件包含方案设计中心和沙盘模拟平台两个模块，实验分配可选择方案设计模式、沙盘模拟模式；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16.方案设计中心提供社区背景信息，学生通过内容分析，分工合作制定一份完整的健康指导方案；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17.学生通过多机构合作，找出案例健康危险因素，完成健康信息采集和分析；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18.学生通过制定相应干预方案或治疗措施，系统自动计算各指标变化；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★19.学生操作过程中会自动触发健康紧急事件，考验学生对健康突发事件的处理能力，突发事件可以由教师后台自定义设置；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20.健康管理中心、医院、体检中心三个不同职能健康机构必须包括理论知识考点作答以及对人物案例进行筛选评估、找出问题，指导改善方向，辅助学生更好的理论联系实践，获取更高的实验分数；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★21.学生端通过动态虚拟化的社区沙盘呈现实验内容，沙盘盘面至少包括当前社区人数、健康指数、当前期数、倒计时、帮助菜单、社区公告、社区背景等信息，帮助学生更好的理解健康管理的工作流程和规范；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健康管理中心的档案系统采用数据可视化的方式呈现学生不同案例的健康状况，通过人体结构图直观呈现案例健康状况。健康指数、医疗占比情况以及健康管理的效果评价随着整个实验的进行，动态变化。并且学生可以清晰查看健康管理过程中干预措施变化情况，个人健康指标变化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23.实验结束后，系统会对学生的操作、管理效果、知识考点、以及各机构中的模块的操作进行智能评分，并且自动生成实验报告，实验报告可供学生或教师查看并直接下载；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24.软件支持实验结束后学生对实验记录进行查看和复盘；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实验报告必须包括实验学生的基本信息、实验总得分、每期实验权重分配、竞争性健康得分以及知识考点得分、操作准确度得分、医疗占比得分情况，通过图表呈现案例在健康干预前各项健康数据指标情况以及干预后的健康数据指标变化情况，方便学生复盘了解实验过程中的不足点，提高健康管理技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软件支持实验数据的查看，数据面板包括沙盘模拟次数、方案设计次数、总实验次数、总实验人数、沙盘累计实验时长、沙盘平均实验时长、历史管理案例人数、沙盘模拟平均实验得分；对于沙盘中的竞争性健康得分、知识考点得分、医疗占比得分、操作准确度得分的平均分和最高分以柱状图表呈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27.软件支持登录日志，包含登陆账号、时间、地址、浏览器数据的查询和查看。</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1FBB15B0">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50BEA824">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75866442">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6D7DA102">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109D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8F3FAAB">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640235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24h动态血压监测仪</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ED1AC6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哲寻V3.0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润宝V2.0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赫天HT-2.0</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E4CC356">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1.Microsoft windows2003、Vindows XP或更高级版本，软件最多可提供7天数据分析。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2.软件提供血压晨峰指数，平滑指数，变异系数，动脉硬化指数分析，白大衣高血压自动分析。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3.显示收缩压和舒张压，收缩压与脉搏相关性分析。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4.自动生成诊断分析结论。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5.自由设定报告内容、选择打印类型。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6.专利拉链袖带，方便拆卸清洗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7.袖带防滑和内衬专利，佩戴稳固，舒适吸汗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8.通过ESH临床验证，欧洲高血压学会指定使用产品</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762F7E8D">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2CE2B8B4">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1B8A1429">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79643D64">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47D5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CC65184">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5887248">
            <w:pPr>
              <w:snapToGrid w:val="0"/>
              <w:spacing w:line="240" w:lineRule="auto"/>
              <w:jc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公共管理教学智能体验装置</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6B7BB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哲寻V3.0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蓝宇V2.0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翎鼎V1.0</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85C62B1">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一、数据端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1.处理器：英特尔至强银牌43102.1G,12C/24T,10.4GT/s,18M缓存。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2.内存：≥32GBRDIMM,3200MT/s,双列,8GbBASE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3.硬盘：≥960GSATA*2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4.PERCH755适配器提供RAID控制功能，其中包括对RAID级别0、1、5、6、10、50和60的支持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5.插槽：多达5个PCleGen4插槽/1个PCleGen3插槽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6.电源：800W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二、交互端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1.屏幕尺寸：75英寸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2.分辨率：3840×2160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3.发声单元个数：5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4.接口类型：HDMI，USB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5.刷新率：180Hz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6.运行内存/RAM：16G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7.屏幕数量：2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三、管理系统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1.B/S架构，支持120人并发访问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2.使用的技术或架构:java web;spring;html5等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管理员、教师和学生三个端口。不同端口管理权限不同：管理员端口支持用户管理、班级管理、实验管理、自定义案例；教师端口支持班级管理、实验管理；学生端口包括实验列表、实验报告、通知消息、个人中心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aps w:val="0"/>
                <w:color w:val="172B4D"/>
                <w:spacing w:val="0"/>
                <w:sz w:val="21"/>
                <w:szCs w:val="21"/>
                <w:shd w:val="clear" w:fill="FFFFFF"/>
              </w:rPr>
              <w:t>★</w:t>
            </w:r>
            <w:r>
              <w:rPr>
                <w:rFonts w:hint="eastAsia" w:ascii="宋体" w:hAnsi="宋体" w:eastAsia="宋体" w:cs="宋体"/>
                <w:i w:val="0"/>
                <w:iCs w:val="0"/>
                <w:color w:val="000000"/>
                <w:kern w:val="0"/>
                <w:sz w:val="21"/>
                <w:szCs w:val="21"/>
                <w:u w:val="none"/>
                <w:lang w:val="en-US" w:eastAsia="zh-CN" w:bidi="ar"/>
              </w:rPr>
              <w:t>4.包含土地管理、水务管理、交通管理、环境管理、公共财政管理、产业结构管理、社会安全管理和公共事业管理等多项管理内容，并分为规划和自然资源局、水务局、交通运输局、城市管理局、园林和林业局、财政局、经济和信息化局、人力资源和社会保障局、公安局、教育局、卫生健康委员会和文化和旅游局等政府职能部门。学生通过扮演相关政府人员，理解现实政府职能部门之间的联系与职责分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5.提供不同城市背景模型，包括综合城市、工业城市和生态城市等多种模型；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6.采用虚拟场景呈现实验内容，场景中包含多个职能部门，支持不同场景之间的切换；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7.采用动态竞争机制，学生通过合理的策略制定，竞争制造业、服务业和高层次人才等外部资源；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8.支持学生查看城市土地和资金资源实时变化的数据，并及时调整策略，合理分配这两大资源，争取团队竞争优势；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aps w:val="0"/>
                <w:color w:val="172B4D"/>
                <w:spacing w:val="0"/>
                <w:sz w:val="21"/>
                <w:szCs w:val="21"/>
                <w:shd w:val="clear" w:fill="FFFFFF"/>
              </w:rPr>
              <w:t>★</w:t>
            </w:r>
            <w:r>
              <w:rPr>
                <w:rFonts w:hint="eastAsia" w:ascii="宋体" w:hAnsi="宋体" w:eastAsia="宋体" w:cs="宋体"/>
                <w:i w:val="0"/>
                <w:iCs w:val="0"/>
                <w:color w:val="000000"/>
                <w:kern w:val="0"/>
                <w:sz w:val="21"/>
                <w:szCs w:val="21"/>
                <w:u w:val="none"/>
                <w:lang w:val="en-US" w:eastAsia="zh-CN" w:bidi="ar"/>
              </w:rPr>
              <w:t>9.包含公共管理相关的专业知识考点题库，每期学生既要注重土地和资金资源数据的变化，也要解答不同职能部门内以材料题形式呈现的知识考点题目；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10.实时监控功能支持教师查看各阶段每组完成的状态、学生的所有操作以及运营数据变化的趋势；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aps w:val="0"/>
                <w:color w:val="172B4D"/>
                <w:spacing w:val="0"/>
                <w:sz w:val="21"/>
                <w:szCs w:val="21"/>
                <w:shd w:val="clear" w:fill="FFFFFF"/>
              </w:rPr>
              <w:t>★</w:t>
            </w:r>
            <w:r>
              <w:rPr>
                <w:rFonts w:hint="eastAsia" w:ascii="宋体" w:hAnsi="宋体" w:eastAsia="宋体" w:cs="宋体"/>
                <w:i w:val="0"/>
                <w:iCs w:val="0"/>
                <w:color w:val="000000"/>
                <w:kern w:val="0"/>
                <w:sz w:val="21"/>
                <w:szCs w:val="21"/>
                <w:u w:val="none"/>
                <w:lang w:val="en-US" w:eastAsia="zh-CN" w:bidi="ar"/>
              </w:rPr>
              <w:t>11.支持以城市竞争力和知识考点这两项评价指标进行自动打分，最终确定城市的排名；评分采用动态打分制，依据其他城市经营情况以及模型公式共同得出小组分数；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实验管理功能支持自定义创建实验，教师可设定实验期数，实验阶段时长、评价指标权重和角色分配规则等各项内容；支持记录学生操作，并以数据表、柱状图、折线图等多种统计方式展现每个模块不同期数的数据变化；同时支持下载生成PDF格式的实验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13.涵盖上百个模型计算公式，支持自定义增加或修改固定元素、变量元素、城市竞争力指标的公式与限制条件；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14.支持自定义增加或修改城市背景、国家政策和知识题库等内容；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aps w:val="0"/>
                <w:color w:val="172B4D"/>
                <w:spacing w:val="0"/>
                <w:sz w:val="21"/>
                <w:szCs w:val="21"/>
                <w:shd w:val="clear" w:fill="FFFFFF"/>
              </w:rPr>
              <w:t>★</w:t>
            </w:r>
            <w:r>
              <w:rPr>
                <w:rFonts w:hint="eastAsia" w:ascii="宋体" w:hAnsi="宋体" w:eastAsia="宋体" w:cs="宋体"/>
                <w:i w:val="0"/>
                <w:iCs w:val="0"/>
                <w:color w:val="000000"/>
                <w:kern w:val="0"/>
                <w:sz w:val="21"/>
                <w:szCs w:val="21"/>
                <w:u w:val="none"/>
                <w:lang w:val="en-US" w:eastAsia="zh-CN" w:bidi="ar"/>
              </w:rPr>
              <w:t>15.支持团队模式和单人模式：团队模式下，分角色组团练习，比赛以团队形式展开，比赛结束后展示团队排名，支持每个团队包含2-6人；单人模式下，学生独自完成所有职能部门的决策。</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4D5CEDD3">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37C9B517">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05C87007">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0FA7CC18">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5AE6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3E6F5CF">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1373A32">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AI健康管理智能辅助机器人</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0F6311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哲寻ZX-JK01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泽普ZEPU-AI1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超能机器人CN-YHA01</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24D47E0">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CPU ：RK3399/m, 六核 64位超强CPU, 主频高达2 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机身尺寸（长宽高） 42.8cm*42.8cm*140cm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机身重量 约56.2kg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表情屏 7 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屏幕尺寸 15 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运行内存（RAM) 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识别摄像头 800万像素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电池容量 16Ah/24V（可选配25Ah/24V）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麦克风 环形6麦阵列，支持360°±10°声源定位，带回声消除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1、迎宾接待：自动识别人脸并播报欢迎语，后台可维护VIP人脸照片，机器人识别后可播报定制欢迎语（机器人需处在待机页或无人交互状态下的业务咨询页面）。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2、业务咨询：支持搭建行业数据模型和海量知识库，支持语音交互，机器人检索用户语音命中预设的问题可给出正确的答复。机器人后台自动记录用户语音咨询时的未知问题，用户可对未知问题添加答案。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3、智能讲解：用户可根据现场情况后台自定义设置机器人讲解线路及内容，可使用机器人充当讲解员的角色，引领人员按线路进行参观，导览过程中为访客提供针对性的讲解服务。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4、场景应用：用户可以在后台维护多层级的宣传展示内容，用户在机器人可以选择进行查看。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5、数据统计：机器人后台显示当前账号下机器人数量、知识库问题数量、解答问题数量、自建知识与闲聊占比等数据，用户可进行数据分析后逐步优化机器人的使用体验。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6、主动避障；采用激光雷达、超声波等多模传感器，自主定位导航，深度优化避障算法去感知周边环境变化实现自动避障。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7、自动回充：当机器人电量低于 15%时，会自主回到充电桩进行充电。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8、开放SDK：开放 SDK 包，客户可基于SDK进行二次开发自己的机器人应用，增加专属个性功能，与实际业务场景更契合。</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6516A395">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5D4F8697">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74CC17D2">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76FEACB9">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566C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881ABEC">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E9B2C2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健康管理科普宣教设备</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546AC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哲寻V3.0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欣曼XM-H230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温麦MAR/230</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8C6782A">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屏幕尺寸：43寸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额定电压：220V-50Hz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尺寸：100*59*105（cm)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可通过图文、动画的形式展示各训练主题的特点与用途，让来访者能很快选择负责自己的健康科普主题。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包含有：心理课堂、心理成长、心理自助、健康知识、健康营养等科普主题</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2A6105BF">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6A1A51E0">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6C530A95">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32115487">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4767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B602EA6">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4E3FC3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人体全身模型170cm</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E9DC0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哲寻V3.0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希智XZG60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康谊KH-H230</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65A6573">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XM-301人体全身肌肉解剖模型可拆分为29部件，显示男性全身肌肉的组成、形态和结构，胸腹壁可打开显示内脏器官的形态和位置，各内脏器官可拆下。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尺寸：自然大，高170cm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材质：PVC材料</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504329AB">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38AC3FF9">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22D9D357">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35FBC33A">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52AE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A0C2DC5">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2F8E7F0">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高龄者模拟体验装置</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8D508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中匠福，定制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辰宏ch1940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德曼DM-DHC</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92B52E0">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这款高级着装式老年行动模拟服可用于为我们亲身体验老人的生活，并能更好的理解老人的感受，模拟服根据老年生理变化而设计，可体会身体特定部位老化的感觉，更好的理解发现老人的感受，后背和身体的弯曲的角度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-穿戴体验装置可以切身体验老年人由于肌肉、骨骼、视觉、听觉等身体机能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老化，生活不便而产生的心理感受;-适用于医疗、护理和福利机构的体验、训练练习;障碍镜: 可以让体验者感受到视觉功能的变化，比如由于白内障而引起的视野变小和视力减退;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-肘关节约束带:约束带限制了肘部的活动，使体验者上肢行动不灵活;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手指约束带:限制腕关节的活动度，使体验者变得笨拙;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手套: 可以使体验者手和手指的触觉减弱、消失;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-拐杖:可以让体验者感受到由于机体的残障必须借助于拐行走的感觉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耳塞: 可以使体验者感受到听力减弱、消失;后背约束架:后背约束带弯曲的姿势迫使体验者不得不采用老年人驼背的姿态手腕部加重袋:可以给手腕部加重，使体验者感受到手臂肌力减弱的感觉:-膝关节约束带:约束带限制了膝部的活动，让体验者感觉到腿部不灵活,上下楼梯困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-踝关节约束带:限制踝关节的活动度，使体验者下肢行动不灵活:脚踝部加重袋: 可以给脚踝部加重，使体验者感受到脚踝部肌力减弱的感觉。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着装式老年行动模拟服*1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眼镜*1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耳塞*4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手套*1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沙袋*4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绑带(长+短)*6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拐杖*1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手提袋*1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说明书/合格证/保修卡</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2BFA23A1">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70D7EB56">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35" w:type="pct"/>
            <w:tcBorders>
              <w:top w:val="single" w:color="auto" w:sz="4" w:space="0"/>
              <w:left w:val="single" w:color="auto" w:sz="4" w:space="0"/>
              <w:bottom w:val="single" w:color="auto" w:sz="4" w:space="0"/>
              <w:right w:val="single" w:color="auto" w:sz="4" w:space="0"/>
            </w:tcBorders>
            <w:vAlign w:val="center"/>
          </w:tcPr>
          <w:p w14:paraId="708F2073">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4E11D2E2">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3C89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8D85E08">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9BF0E1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中风模拟体验装置</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956E7F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三元，升降理疗床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赫曼HMC006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康恩菲EL04</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FC0F487">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主要功能：用于体验老年人半身麻痹的诸多行动不便。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技术要求：本模型的鞋是为老年人和残疾人设计，轻便、防滑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标准套配置：模拟服一件、病人靴一双、拐杖一根、肩部限制器一个、肘部限制器一个、腕部限制器一个、膝部限制器；、部限制器一个、环保手提袋一个</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1C29381C">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0DFCF161">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35" w:type="pct"/>
            <w:tcBorders>
              <w:top w:val="single" w:color="auto" w:sz="4" w:space="0"/>
              <w:left w:val="single" w:color="auto" w:sz="4" w:space="0"/>
              <w:bottom w:val="single" w:color="auto" w:sz="4" w:space="0"/>
              <w:right w:val="single" w:color="auto" w:sz="4" w:space="0"/>
            </w:tcBorders>
            <w:vAlign w:val="center"/>
          </w:tcPr>
          <w:p w14:paraId="681D65EF">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43A437A5">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1F0D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4C29FDB">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FA4F89C">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中医智能健康管理护理床</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0CF4B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圣美孚SMF-S1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经荣TCM-SMYT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康为KS-MT-1815G</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69625C4">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纯电动，新式ABS床头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整体翻身床垫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90白餐桌板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洗头盆便盆说明书，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床面尺寸： 2030*900*360，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整体尺寸：2130*960*490 </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2191004F">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6849DE10">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4E10DC97">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5F51BCDF">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65A3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EFED334">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84E9B43">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中医健康管理理疗床</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76AF2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PHILIPS  75BDL2652T/93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创维ME7528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maxhubSC75</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252655D">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产品功能：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优质皮革、海绵、钢架构造而成，钢管支撑，床下面有梯形链接。床更加牢固耐用。</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31C04850">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5805E9BD">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3F35CA0C">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3E47EFBE">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412A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570E064">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1D299A6">
            <w:pPr>
              <w:snapToGrid w:val="0"/>
              <w:spacing w:line="240" w:lineRule="auto"/>
              <w:jc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人工智能中医舌面诊训练仪</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0CDD9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宝德PR4904W1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浪潮NF5280A7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Dell R750XS</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DF551C8">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★1.提供医疗器械检测中心检验报告，检验报告中的检测项目需要同时包含心电ECG、心率、心率变异性等模块。（提供检验报告复印件予以证明）；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★2.提供医疗器械注册证，产品适用范围需包含通过测量静息状态下受测者的心率或脉率，分析受测者的心率变异性。（提供医疗器械注册证复印件予以证明）；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3、心率变异性分析指标（HRV）(提供软件报告截图)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3.1时域分析：平均心率（HR）、RR间期标准差（SDNN）、相邻RR间期差值的均方根（RMSSD）、相邻RR间期之差大于50ms的百分比（pNN50）、RR间期变动系数（CVRR）、相邻RR间期差值的标准差（SDSD）。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3.2频域分析：总功率（TP）、极低频功率（VLF）、低频功率（LF）、高频功率（HF）、低频标准值（LFNorm）、高频标准值（HFNorm）、低频高频功率比（LF/HF）、交感神经指数（SNE）、副交感神经指数（VNE）。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3.3散点图指标： 向量角度指数（VAI）、向量长度指数（VLI）。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3.4可将心率变异性波形图转化为功率光谱密度图，并以柱状图的形式来分析总能量、极低频、低频、高频，用于评估自主神经活性的调节能力和心脏的生物电稳定性。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4、精神压力分析指标：评估在压力或疲劳状态下的机体应激反应，包括身体疲劳指数、精神压力状态、身体抗压能力、精神情绪状态。并且用不同的区间比例以柱形图直观展现。(提供软件报告截图)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5、自主神经系统检测：自主神经系统活性、自主神经系统平衡、自主神经系统稳定性（能够直观的通过不同的色块区间展示、区分自主神经系统稳定性的测试结果）。(提供软件报告截图)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6、测试时间3min、5min。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7、高性能一体机：高性能一体机安装有数据分析软件，可以实现对患者的管理， 测量记录的管理和系统的管理，运行系统在 WIN10 或以上,屏幕尺寸≥23.8 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8、高性能讯号传感器, 心电频率响应：范围0.4-40Hz，带宽-3dB，上限110%。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9、心率测量范围：30-200bmp。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重复性：±3%。（提供检验报告复印件予以证明）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10、接口：具有与其他设备与软件互联接口。完整的互联网功能和通信协议，方便专家远程会诊和联网，以及网络升级。</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4E5CF994">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515C6E24">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3C3F05D2">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5A3C6242">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50BF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F1795B4">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256D4F9">
            <w:pPr>
              <w:snapToGrid w:val="0"/>
              <w:spacing w:line="240" w:lineRule="auto"/>
              <w:jc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75寸触控一体机</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8015EF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欣曼XM-301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德尔塔Delta60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知能BIX-A1103-1</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AFFA625">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1.屏幕参数 尺寸=75英寸 响应时间≥8ms 画面比例=16:9 分辨率：3840*2160 像素间距=0.372*0.372mm，触摸书写系统：红外线识别 刷新频率=60Hz 色彩度=1.07B(10bit) 对比度=1200:1 可视角度=178°(H/V) 屏亮度（带玻璃）=300cd/m2 背光类型=DLED 寿命=&gt;30000小时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2.音视频参数 声道=2.0 功率=2X15W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3.触摸书写系统 识别原理=红外识别 支持系统=Windows 10 触摸点数=20点触摸 输入方式=手指' 触摸笔等不透光物体 响应时间=&lt;15毫秒 最小识别物=6mm 触摸精度：±2mm （90%以上的区域） 书写高度&lt;3.5mm 书写屏表面硬度=7H 输出坐标=32767 (W) X 32767 (D)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4.显示接口  HDMI IN=1  USB2.0=3  触摸输出 RS232=1 按键=电源键（带红/蓝指示灯）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5、电源参数 电源输入=220V~50Hz 1.5A 整机最大功耗=330W 待机功耗=&lt;0.5W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6.尺寸重量 整机尺寸（长X宽X厚1488 X 897 X 90mm 包装尺寸（长X厚X高）1675X220X1070mm 整机+壁挂厚度120mm VESA孔规格（长X宽）600 X 400mm 壁挂螺丝规格M8X25mm 净重38.15kg 毛重50.3kg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7、随机附件 电源线1.5米 壁挂WIB9060G 手写笔SW00 遥控器1pcs 电池AAA （7号电池） 使用指南1pcs 保修卡1pcs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8、环境因素 工作温度0°C -40°C 工作湿度10% ?90%RH 存储温度-20°C -60'C 存储湿度10% 90%RH 工作高度5000米以下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系统：I5 win10系统，8代cpu 4+256内存。</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42167173">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5CCDF2C0">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66C7358D">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0DAFFA7A">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657B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4B978A0">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4347363">
            <w:pPr>
              <w:snapToGrid w:val="0"/>
              <w:spacing w:line="240" w:lineRule="auto"/>
              <w:jc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AI算力服务器</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412E8E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哲寻，定制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金豫，定制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亚明，定制</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8F0CFC8">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AI服务器，4U双路机塔互换式加速计算服务器，Intel高性能芯片组，支持第三代IntelXeon Processor Scalable可扩展家族CPU:CPU、2X Intel Xeon Gold 5318Y Processor/2.10 GHz/36 MB/24C/48T/165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W/3UPI/2933MHz;内存:16X32GB/DDR4/2933MHz或3200MHz/ECC/REG，最多支持4TB内存容量;SSD，4XSSD/960GB/SATA6Gb/2.5寸/读取型&lt;1DWPD，支持8块3.5英寸热插拔SAS/SATA硬盘及内置2块3.5英寸/3块2.5英寸SAS/SATA硬盘;阵列卡，1XLR482A/8口(1*SFF-8654)/SAS 12Gb/NVMe/半高/PCIe 4.0 x8/DDR4/4GB缓存/支持NVMe U.2SSD/支持RAID0,1,5,6,10,50,60;GPU加速卡，2X NVIDIA L4/24GB/显存带宽/PCIE单宽/被动散热，4个全高全长双宽的 PCIE4.0 GPU插槽，或1*HGXA1008GPU;以太网络，2X光模块10Gb/多模光模块SFP+850nm 0.3kmLC，1X以太网卡Mellanox CX-5 EN 25GbE双口SFP28 PCIe3.0 x8 MCX512A-ACAT;1XPR4904P1专用，GPU散热套件1组，1XPR4904P1专用机箱滑轨套件，含耳架(耳架14921000X001)(不标配，机架式使用必选)，1X2700W 1+1，三年标准售后</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07253FA0">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1EF1666F">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54D58E0B">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2CC6428E">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7F29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B958DDC">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224C26A">
            <w:pPr>
              <w:snapToGrid w:val="0"/>
              <w:spacing w:line="240" w:lineRule="auto"/>
              <w:jc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教师桌椅</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CBD6F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哲寻，定制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金豫，定制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亚明，定制</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ED1F12A">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教师桌：长1200mm，宽800mm，钢木结构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教师椅：网布面，高靠背，五星尼龙脚</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0C264AB6">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625D8C36">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72FDAF6A">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16A5E450">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4C72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5284793">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AF77B48">
            <w:pPr>
              <w:snapToGrid w:val="0"/>
              <w:spacing w:line="240" w:lineRule="auto"/>
              <w:jc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桌子</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99CB0B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哲寻，定制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金豫，定制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亚明，定制</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4A15565">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长1800mm,宽600mm</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076C3129">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50A21409">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535" w:type="pct"/>
            <w:tcBorders>
              <w:top w:val="single" w:color="auto" w:sz="4" w:space="0"/>
              <w:left w:val="single" w:color="auto" w:sz="4" w:space="0"/>
              <w:bottom w:val="single" w:color="auto" w:sz="4" w:space="0"/>
              <w:right w:val="single" w:color="auto" w:sz="4" w:space="0"/>
            </w:tcBorders>
            <w:vAlign w:val="center"/>
          </w:tcPr>
          <w:p w14:paraId="26D2BF65">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6D33D609">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197F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527A6F7">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8C67940">
            <w:pPr>
              <w:snapToGrid w:val="0"/>
              <w:spacing w:line="240" w:lineRule="auto"/>
              <w:jc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椅子</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47854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哲寻，定制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金豫，定制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亚明，定制</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A59AEB0">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尼龙网面五星脚</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04C153B8">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把</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491106DE">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63</w:t>
            </w:r>
          </w:p>
        </w:tc>
        <w:tc>
          <w:tcPr>
            <w:tcW w:w="535" w:type="pct"/>
            <w:tcBorders>
              <w:top w:val="single" w:color="auto" w:sz="4" w:space="0"/>
              <w:left w:val="single" w:color="auto" w:sz="4" w:space="0"/>
              <w:bottom w:val="single" w:color="auto" w:sz="4" w:space="0"/>
              <w:right w:val="single" w:color="auto" w:sz="4" w:space="0"/>
            </w:tcBorders>
            <w:vAlign w:val="center"/>
          </w:tcPr>
          <w:p w14:paraId="650D03BD">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35F1E36C">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7FEB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389F39C">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F356C5A">
            <w:pPr>
              <w:snapToGrid w:val="0"/>
              <w:spacing w:line="240" w:lineRule="auto"/>
              <w:jc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柜子</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19D8D6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哲寻，定制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金豫，定制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亚明，定制</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36E0AA3">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长6000mm，宽500mm，高2000mm</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3120DA45">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6DC13014">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64E285F3">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5BD3A538">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257E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1DD1A3F">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C50B12F">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培训书写椅</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16A2FBD">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飞利浦</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索爱</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得胜</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582D752">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网布面，钢架结构，带有可折叠书写板；五星脚带滑轮；</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72299003">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35D5A18F">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535" w:type="pct"/>
            <w:tcBorders>
              <w:top w:val="single" w:color="auto" w:sz="4" w:space="0"/>
              <w:left w:val="single" w:color="auto" w:sz="4" w:space="0"/>
              <w:bottom w:val="single" w:color="auto" w:sz="4" w:space="0"/>
              <w:right w:val="single" w:color="auto" w:sz="4" w:space="0"/>
            </w:tcBorders>
            <w:vAlign w:val="center"/>
          </w:tcPr>
          <w:p w14:paraId="05EC2C69">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5900634C">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3581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DB37906">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4575F7E">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步行训练用阶梯（双向）</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B3C62F6">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仟璟</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亚菲</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鸿瑞康</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89E66B7">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尺寸：332×80×135cm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适用人群：下肢康复、残疾人、中风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是否可折叠：否</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433B39F4">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3A9FE44A">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129E931C">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383D8F90">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51C2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54AD732">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86015D3">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身高体重秤</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5F07DA6">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美琳</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云康宝</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凯丰</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F2D619F">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1、智能感应升降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2、自动语音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3、热敏打印功能</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66B38E51">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6580B47F">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462BC1A0">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01DF21E3">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623D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exac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62D35B3">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9990320">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人体成份分析仪（肌少症检测）</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5E08A68">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东华原</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芯瑞康</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医和智联</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9A59D69">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一、技术参数：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1、测量原理：采用多频生物电阻抗技术，在人体躯干及五个节段进行30个阻抗测量，从而计算和得出人体水分、蛋白质、脂肪、无机盐等各个组成成分。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2、测量方式：多频生物电阻抗分析法（BIA法）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3、测量频率：1、5、50、250、500、1000 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4、电极方式：四极8点接触式电极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5、电极材料：电极材料为ABS镀铬材料，强度高，耐摩擦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6、测量阻抗范围：20－1200欧，精确度在±3%之内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7、测量部位：全身及五个节段(左上肢，右上肢，左下肢，右下肢，躯干)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★8、显示屏：10.1寸电容式液晶触摸屏，分辨率1280×800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9、系统软件：Windows7 64位系统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10、报告格式：普通A4报告，专用打印报告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11、报告类型：人体成分报告、水分报告。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★12、接口：USB，RS232C(9针串口），ETHERNET，WIFI,蓝牙。其中的USB储存设备：可使用USB存储设备存储数据（与Excel软件兼容）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13、测量时间：1分钟以内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14、设备重量：≤2kg，且底座为万向轮，方便移动搬运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★15、三种测量方式：躺姿、坐姿、站姿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16、测量年龄范围：1～99岁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二、测量指标：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★1、身体成分分析：细胞内液，细胞外液，总水分，蛋白质，无机盐，骨外含量，体脂肪量，肌肉量，去脂体重，体重及各指标正常参考范围。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2、肌肉脂肪分析：骨骼肌肉量，体脂肪量、体重及正常参考范围。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3、肥胖分析：身体质量指数，体脂肪率，腰臀比，内脏脂肪面积及正常参考范围。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4、节段分析：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节段肌肉分析：左臂、右臂、躯干、左腿、右腿各个节段肌肉量分析及正常范围参考。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节段脂肪分析：左臂、右臂、躯干、左腿、右腿各个节段脂肪量分析及正常范围参考。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5、体重控制：目标体重，体重控制，肌肉控制，脂肪控制，基础代谢量。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6、体型判定：隐形肥胖、脂肪过量、肥胖、低体重、标准体型、超重肌肉型、低脂肪体体重、低脂肪肌肉型、运动员型九种体型判定。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7、节段及全身浮肿指数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1）细胞外液率（ECF/TBF）：左臂细胞外液率（LaECF/TBF）、右臂细胞外液率（RaECF/TBF）、躯干细胞外液率（TrECF/TBF）、左腿细胞外液率（Ll ECF/TBF）、右腿细胞外液率（Rl ECF/TBF）；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2）细胞外水分率（ECW/TBW）：左臂细胞外水分率（La ECW/TBW）、右臂细胞外水分率（Ra ECW/TBW）、躯干细胞外水分率（TrECW/TBW）、左腿细胞外水分率（LlECW/TBW）、右腿细胞外水分率（RlECW/TBW）；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★3）全身细胞外液率（ECF/TBF）、全身细胞外水分率（ECW/TBW），并且采用五阶颜色图示和标注检测数值。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8、营养评估：蛋白质（不足、正常）、无机盐（不足、正常）、体脂肪（不足、正常、超标）进行综合评估。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9、肌肉评估：上肢、下肢均衡和发达程度评估。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10、评分：结合测量结果，进行身体总评分打分。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11、阻抗数值：提供左上肢、右上肢、左下肢、右下肢、躯干五个部位六个频率的30个阻抗值。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12、历史记录：体重、身体质量指数（BMI）、体脂肪率（PBF）、骨骼肌（SMM）近12次历史检测结果数据及图示。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★13、体水分测量（专用输出报告）：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1）水分检测与分析：身体总水分、细胞内液、细胞外液分析；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各节段左臂、右臂、左腿、右腿、躯干水分分析，并进行图示和注明标准范围；身体浮肿指数以及各节段左臂、右臂、左腿、右腿、躯干浮肿指数，并用图示标注出身体节段的三阶状况：浮肿、轻度浮肿和正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3）身体水分近9次历史记录及图示。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4）肌肉脂肪专业性研究指标：骨矿物质、肌肉指数、四肢骨骼肌指数、肥胖度。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5）身体代谢状况研究指标：基础代谢量（BMR）、BCM（身体细胞量）、水合率（TBW/FFM）、去脂体重指数FFMI、上臂围度AC、上臂肌肉围度AMC。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4）相位角研究指标：全身相位角，左臂、右臂、左腿、右腿、躯干五节段相位角。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三、其他参数：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1、有云平台接口和云端服务支持，主机具备RS232C、WIFI和蓝牙连接模式。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2、数据存储：自动存储，大容量存储，可存储50万组测量数据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3、查询功能：在设备上直接进行多种数据查询（ID号、身高、体重、年龄、性别查询）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4、设备安全管理：具有密码设置功能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5、工作环境：0-40度，湿度小于90%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6、存储环境：0-40度，湿度小于90%</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30174B95">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706C0624">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4DD303E3">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70D6D45E">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27BD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0CBDEE3">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81176BD">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电子握力器</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787F54A">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户外人</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艾美顿</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匹克</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C413CB7">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LED显示、感应灵敏、自动峰值显示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握力可调节范围：10-100kg</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63CF60D5">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6C34E080">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16240E52">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53CFD8D8">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075F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D0EC79E">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0A8B3F1">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步态分析仪</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1D42FAF">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鸿泰盛</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芯瑞康</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世联博研</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21AC530">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1.系统提供静态、动态、稳定性足底压力测试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 USB 接口连接电脑无需外接电源，且USB线拔取后压力板无任何外置连线。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3.单次测试可记录和保存至少4组步态数据，并可任意调用每一组数据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4.压力感应类型：压阻式传感元件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5.*压力测量板为一体式高度设计，外轮廓尺寸最大厚度≤15mm，可以嵌入地板或硬质地面中使用，与地面完全一平，没有任何高出地面的突起。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6.测试宽度≥500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测试长度≥600mm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7.压力测量板厚度：≤15mm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8.*压力测量板最大采样频率：≥500Hz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9.*压力测量板采样频率可调，用户可根据测试需要自定义采样频率设置100、200、300、400、500 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10.*压力测量数据每个平方厘米不低于4个，压力数据点总数：≥10000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11.*系统支持升级网络摄像头同步使用，支持视频解析软件功能拓展（选配）；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12.患者信息管理、测试数据管理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13.支持数据导出、报告打印功能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14.动态测量分析：自动识别左脚步态和右脚步态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15.每个步态的时间、足印长度、接触面积、平均压力、最大压力、足角度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16.提供压力分布的图像，压力、压强、冲量曲线和动态变化的影像回放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17.每个步态的压力中心轨迹、整体步态的压力中心左右脚各自步态的内外侧受力比例、前后侧受力比例、后跟内外侧受力比例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18.*足底8个区域自动分区与10个区域自动分区2种分区模式，及的各自的受力面积与受力比例等指标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19.*系统自动给出受试者的足弓指数，直接判断受试者是高足弓，正常足弓，扁平足弓，并以报告的形式可以打印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20.支持显示和导出每个传感元件探测的压力数值至Excel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21.每侧每个步态的压力时间曲线及分区曲线的数据导出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系统可以对步态周期自动划分及计算每阶段时间、最大负荷百分比、接触面积和移动速度，自动生成足底最大压强点及冲量点的数值及位置报告，并对每个足印的最大压强及冲量点的前三个区域做位置与数值的标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23.*系统自动给出受试者的足底生物力学矫正建议报告，报告可明确指导生物力学矫正鞋垫的制作方法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支持扩展人体形态学测量支持扩展利用摄像头在无外部标记点的情况下自动识别人体21个关键点，对连续性运动进行逐帧的跟踪识别。系统通过利用以往对大量人工标记数据的积累并结合计算机神经网络技术达到自动识别的效果，结合大范围标定合成三维数据，系统可以计算并显示不同的运动学指标，进行运动技术分析。（选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测力台1块，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专业分析软件 1 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连接数据线1套，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配套步道1套</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7EA9E103">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4EC5D775">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5608DBEC">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2132D102">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2F49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4189240">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E7CE412">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助浴插销浴缸</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B75D7E3">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红龙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德沃</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红龙</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BB136A0">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升降分离分体浴缸全套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是否带底盘：是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是否带高低盆：是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是否带水箱：是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结构类型：可折叠</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50508B0B">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43C7EB5A">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0878ADF7">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39634421">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02EE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810A74F">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0BC8565">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生活自助具：可弯曲万能汤匙、吸盘碗、异型口杯等</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3EF8595">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常州友邦</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美物德</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拓建缘</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DDDAB22">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1、生活自助具主要包括防洒盘架、水杯套架、牙刷、梳子、勺、叉等生活用具。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2、用于手曲屈痉挛、手指变形、握力丧失者。帮助患者自行进食、饮水、刷牙及梳头等。</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44897AD2">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457E6ED9">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10CCC8BC">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00891DDD">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4470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C38EE19">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4B32E8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脂肪卡尺</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AA9403D">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点邦</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凯伦特</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山头林村</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CB39D02">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114*67*20mm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适用人群：成人，中老年，青少年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功能：电子脂肪测量仪、脂肪测量卡尺、bmi腰围尺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测量范围：0-50mm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电池类型：CR2032 3V纽扣电池</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3AC7749A">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577B413C">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25157611">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63359C8C">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4407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3F10EC0">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459E04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防滑老人洗澡沐浴椅</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A045355">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康际</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美瑞德</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瑞摩智</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F9C25A0">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3D凹槽座板、一键折叠、高度可调、吸盘脚垫</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1B3B7CC8">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把</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5CD6A710">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5B6217A0">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43C649F6">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76DC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D19034D">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462814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轮椅</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E163B20">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鱼跃</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皮皮熊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康扬</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1B336B9">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1、二次折叠，体积更小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2、安全锁扣、稳固结构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3、轻便车身、可拆卸锂电池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4、电磁刹车、倒车提醒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5、手、电动自由切换</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50D197C4">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把</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48134AC8">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2B5D5BE1">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3964BE41">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37C8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3AA2D30">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C0043D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血压仪</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8FDD15A">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欧姆龙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温迪熊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三诺</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4EB06FA">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1、语音播报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2、袖带配备自检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3、误动作提示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4、不规则脉波提示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5、智能加压</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74827727">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495AC37E">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4FA9C534">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49AD6271">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01FD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5DED88E">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1828E9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血糖仪</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BF8ACD7">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欧姆龙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拜耳</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稳捷</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EEC4DAA">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1、1000组记忆值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2、高清大屏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3、自动退条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4、多种血糖标签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5、平均值显示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6、定时功能</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02BE7735">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338C9B58">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676C4B7F">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7DF40694">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1B99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639C9F1">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0B7D0B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血氧仪</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77376FB">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欧姆龙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乐普</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力康</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8B37242">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1、轻巧便携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2、自动退出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3、高清大屏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4、IP22防护等级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5、低电量提示</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16AF754D">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6614B414">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464B6100">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3395417C">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33C0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CB9B494">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7D7728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听力音叉</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EB95CB7">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凯伦特</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京质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骏泰祥</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0F55190">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专业医用音叉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128/256/512HZ铝合金 音叉</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33D9E0C6">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0AEFB493">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060AB858">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65D29C2F">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6346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46E0102">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231C12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视力表</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39BEC89">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可孚</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哈斯福</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慧宜</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9141906">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5m成人遥控-亮度可调</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3A05BE88">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2FCDE23E">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1CC5ED9C">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1D2C212C">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2207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1B4FCA5">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91FFB2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口袋相机</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395DA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心誉PC-XLZZ43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润宝RB-XJ100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康普KP300</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8DEDA32">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尺寸：长 139.7 毫米，宽 42.2 毫米，高 33.5 毫米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重量：179 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麦克风：3 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触控屏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尺寸：2.0 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分辨率：314×556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亮度：700 尼特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支持存储卡类型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microSD 卡（最大支持 1TB）</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3C4E77E5">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71660742">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35" w:type="pct"/>
            <w:tcBorders>
              <w:top w:val="single" w:color="auto" w:sz="4" w:space="0"/>
              <w:left w:val="single" w:color="auto" w:sz="4" w:space="0"/>
              <w:bottom w:val="single" w:color="auto" w:sz="4" w:space="0"/>
              <w:right w:val="single" w:color="auto" w:sz="4" w:space="0"/>
            </w:tcBorders>
            <w:vAlign w:val="center"/>
          </w:tcPr>
          <w:p w14:paraId="3C43FE02">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464DB3E1">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071F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DB160BC">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31F3DE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手持云台稳定器</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27AC4FA">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大疆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影石</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小默</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05A8B10">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标配手机夹:DJI OM7系列磁吸手机夹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续航时间:约10小时(不搭配额外配件，在云台调平且静置状态下测得的参考值)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状态显示面板：有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结构转动范围：平移：-109°至222°、横滚：-77°至 255°、俯仰：-224°至100°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侧面拨轮/变焦滑杆：侧面拨轮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内置延长杆：有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内置三脚架：有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智能跟随：最高支持智能跟随 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拍摄指导功能：有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快速启动：有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自动对焦：支持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手动对焦：支持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变焦控制：支持</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65E94BC0">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422A58EE">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535" w:type="pct"/>
            <w:tcBorders>
              <w:top w:val="single" w:color="auto" w:sz="4" w:space="0"/>
              <w:left w:val="single" w:color="auto" w:sz="4" w:space="0"/>
              <w:bottom w:val="single" w:color="auto" w:sz="4" w:space="0"/>
              <w:right w:val="single" w:color="auto" w:sz="4" w:space="0"/>
            </w:tcBorders>
            <w:vAlign w:val="center"/>
          </w:tcPr>
          <w:p w14:paraId="1AF8FCD6">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02D7F457">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0A75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D5AE5E2">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6562F7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通用版膳食宝塔</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FF67801">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大疆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浩瀚</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硕图</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D16B39B">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48*48*54cm</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35665C5D">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1B712C42">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7CE456D8">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793FD3BC">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162D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D4E5E50">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617D96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老人版膳食宝塔</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5407796">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安徽疾控</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禾爽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立暖</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4275B17">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48*48*54cm</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69388053">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0A0710CF">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51B0B1E3">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2A4CBFF5">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3EF2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3686641">
            <w:pPr>
              <w:keepNext w:val="0"/>
              <w:keepLines w:val="0"/>
              <w:widowControl/>
              <w:suppressLineNumbers w:val="0"/>
              <w:spacing w:line="240" w:lineRule="auto"/>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50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8C1B6F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科普宣讲话筒音响一体麦克风</w:t>
            </w:r>
          </w:p>
        </w:tc>
        <w:tc>
          <w:tcPr>
            <w:tcW w:w="591"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CC74536">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安徽疾控</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禾爽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立暖</w:t>
            </w:r>
          </w:p>
        </w:tc>
        <w:tc>
          <w:tcPr>
            <w:tcW w:w="228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ED2B32C">
            <w:pPr>
              <w:keepNext w:val="0"/>
              <w:keepLines w:val="0"/>
              <w:widowControl/>
              <w:suppressLineNumbers w:val="0"/>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供电方式：内置锂电池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连接方式：3.5MM音频插口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保修期：1年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功能：蓝牙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适用场景：室内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外壳材质：塑料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颜色分类：白色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品牌：Philips/飞利浦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型号：TAS5519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电池容量：3001MAh(含)-4000MAh(含)5519 蓝牙版本</w:t>
            </w:r>
          </w:p>
        </w:tc>
        <w:tc>
          <w:tcPr>
            <w:tcW w:w="155" w:type="pct"/>
            <w:tcBorders>
              <w:top w:val="single" w:color="auto" w:sz="4" w:space="0"/>
              <w:left w:val="single" w:color="auto" w:sz="4" w:space="0"/>
              <w:bottom w:val="single" w:color="auto" w:sz="4" w:space="0"/>
              <w:right w:val="single" w:color="auto" w:sz="4" w:space="0"/>
            </w:tcBorders>
            <w:shd w:val="clear" w:color="auto" w:fill="auto"/>
            <w:vAlign w:val="center"/>
          </w:tcPr>
          <w:p w14:paraId="7CA696F5">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4A919702">
            <w:pPr>
              <w:keepNext w:val="0"/>
              <w:keepLines w:val="0"/>
              <w:widowControl/>
              <w:suppressLineNumbers w:val="0"/>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single" w:color="auto" w:sz="4" w:space="0"/>
              <w:left w:val="single" w:color="auto" w:sz="4" w:space="0"/>
              <w:bottom w:val="single" w:color="auto" w:sz="4" w:space="0"/>
              <w:right w:val="single" w:color="auto" w:sz="4" w:space="0"/>
            </w:tcBorders>
            <w:vAlign w:val="center"/>
          </w:tcPr>
          <w:p w14:paraId="525DFD05">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69F261C6">
            <w:pPr>
              <w:keepNext w:val="0"/>
              <w:keepLines w:val="0"/>
              <w:widowControl/>
              <w:suppressLineNumbers w:val="0"/>
              <w:spacing w:line="240" w:lineRule="auto"/>
              <w:jc w:val="center"/>
              <w:textAlignment w:val="center"/>
              <w:rPr>
                <w:rFonts w:hint="eastAsia" w:ascii="宋体" w:hAnsi="宋体" w:eastAsia="宋体" w:cs="宋体"/>
                <w:b/>
                <w:bCs/>
                <w:color w:val="000000"/>
                <w:sz w:val="21"/>
                <w:szCs w:val="21"/>
              </w:rPr>
            </w:pPr>
          </w:p>
        </w:tc>
      </w:tr>
      <w:tr w14:paraId="01B0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28" w:type="pct"/>
            <w:gridSpan w:val="5"/>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3E66640">
            <w:pPr>
              <w:snapToGrid w:val="0"/>
              <w:spacing w:line="240"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合计（大写：人民币</w:t>
            </w:r>
            <w:r>
              <w:rPr>
                <w:rFonts w:hint="eastAsia" w:ascii="宋体" w:hAnsi="宋体" w:eastAsia="宋体" w:cs="宋体"/>
                <w:b/>
                <w:bCs/>
                <w:color w:val="000000"/>
                <w:sz w:val="21"/>
                <w:szCs w:val="21"/>
                <w:lang w:val="en-US" w:eastAsia="zh-CN"/>
              </w:rPr>
              <w:t xml:space="preserve">       元整</w:t>
            </w:r>
            <w:r>
              <w:rPr>
                <w:rFonts w:hint="eastAsia" w:ascii="宋体" w:hAnsi="宋体" w:eastAsia="宋体" w:cs="宋体"/>
                <w:b/>
                <w:bCs/>
                <w:color w:val="000000"/>
                <w:sz w:val="21"/>
                <w:szCs w:val="21"/>
              </w:rPr>
              <w:t>）</w:t>
            </w:r>
          </w:p>
        </w:tc>
        <w:tc>
          <w:tcPr>
            <w:tcW w:w="1271" w:type="pct"/>
            <w:gridSpan w:val="3"/>
            <w:tcBorders>
              <w:top w:val="single" w:color="auto" w:sz="4" w:space="0"/>
              <w:left w:val="single" w:color="auto" w:sz="4" w:space="0"/>
              <w:bottom w:val="single" w:color="auto" w:sz="4" w:space="0"/>
              <w:right w:val="single" w:color="auto" w:sz="4" w:space="0"/>
            </w:tcBorders>
            <w:vAlign w:val="center"/>
          </w:tcPr>
          <w:p w14:paraId="58139D9B">
            <w:pPr>
              <w:snapToGrid w:val="0"/>
              <w:spacing w:line="240"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（小写）¥</w:t>
            </w:r>
            <w:r>
              <w:rPr>
                <w:rFonts w:hint="eastAsia" w:ascii="宋体" w:hAnsi="宋体" w:eastAsia="宋体" w:cs="宋体"/>
                <w:b/>
                <w:bCs/>
                <w:color w:val="000000"/>
                <w:sz w:val="21"/>
                <w:szCs w:val="21"/>
                <w:lang w:val="en-US" w:eastAsia="zh-CN"/>
              </w:rPr>
              <w:t xml:space="preserve">     </w:t>
            </w:r>
            <w:r>
              <w:rPr>
                <w:rFonts w:hint="eastAsia" w:ascii="宋体" w:hAnsi="宋体" w:eastAsia="宋体" w:cs="宋体"/>
                <w:b/>
                <w:bCs/>
                <w:color w:val="000000"/>
                <w:sz w:val="21"/>
                <w:szCs w:val="21"/>
              </w:rPr>
              <w:t>元</w:t>
            </w:r>
          </w:p>
        </w:tc>
      </w:tr>
      <w:tr w14:paraId="23D1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8"/>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AB6DB61">
            <w:pPr>
              <w:snapToGrid w:val="0"/>
              <w:spacing w:line="240"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二、商务要求</w:t>
            </w:r>
          </w:p>
        </w:tc>
      </w:tr>
      <w:tr w14:paraId="2947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694"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CEC5147">
            <w:pPr>
              <w:spacing w:line="240" w:lineRule="auto"/>
              <w:jc w:val="center"/>
              <w:rPr>
                <w:rFonts w:hint="eastAsia" w:ascii="宋体" w:hAnsi="宋体" w:eastAsia="宋体" w:cs="宋体"/>
                <w:b/>
                <w:bCs/>
                <w:color w:val="000000"/>
                <w:sz w:val="21"/>
                <w:szCs w:val="21"/>
              </w:rPr>
            </w:pPr>
            <w:r>
              <w:rPr>
                <w:rFonts w:hint="eastAsia" w:ascii="宋体" w:hAnsi="宋体" w:eastAsia="宋体" w:cs="宋体"/>
                <w:b/>
                <w:bCs/>
                <w:sz w:val="21"/>
                <w:szCs w:val="21"/>
              </w:rPr>
              <w:t>报价说明</w:t>
            </w:r>
          </w:p>
        </w:tc>
        <w:tc>
          <w:tcPr>
            <w:tcW w:w="4305" w:type="pct"/>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EE8D9C8">
            <w:pPr>
              <w:spacing w:line="240" w:lineRule="auto"/>
              <w:rPr>
                <w:rFonts w:hint="eastAsia" w:ascii="宋体" w:hAnsi="宋体" w:eastAsia="宋体" w:cs="宋体"/>
                <w:i w:val="0"/>
                <w:iCs w:val="0"/>
                <w:sz w:val="21"/>
                <w:szCs w:val="21"/>
              </w:rPr>
            </w:pPr>
            <w:r>
              <w:rPr>
                <w:rFonts w:hint="eastAsia" w:ascii="宋体" w:hAnsi="宋体" w:eastAsia="宋体" w:cs="宋体"/>
                <w:i w:val="0"/>
                <w:iCs w:val="0"/>
                <w:sz w:val="21"/>
                <w:szCs w:val="21"/>
              </w:rPr>
              <w:t>报价为采购人指定地点的现场交付价格，包括但不限于：</w:t>
            </w:r>
          </w:p>
          <w:p w14:paraId="40F533DF">
            <w:pPr>
              <w:spacing w:line="240" w:lineRule="auto"/>
              <w:rPr>
                <w:rFonts w:hint="eastAsia" w:ascii="宋体" w:hAnsi="宋体" w:eastAsia="宋体" w:cs="宋体"/>
                <w:i w:val="0"/>
                <w:iCs w:val="0"/>
                <w:sz w:val="21"/>
                <w:szCs w:val="21"/>
              </w:rPr>
            </w:pPr>
            <w:r>
              <w:rPr>
                <w:rFonts w:hint="eastAsia" w:ascii="宋体" w:hAnsi="宋体" w:eastAsia="宋体" w:cs="宋体"/>
                <w:i w:val="0"/>
                <w:iCs w:val="0"/>
                <w:sz w:val="21"/>
                <w:szCs w:val="21"/>
              </w:rPr>
              <w:t>1）采购内容中所有货物和服务的价格；</w:t>
            </w:r>
          </w:p>
          <w:p w14:paraId="3060F888">
            <w:pPr>
              <w:spacing w:line="240" w:lineRule="auto"/>
              <w:rPr>
                <w:rFonts w:hint="eastAsia" w:ascii="宋体" w:hAnsi="宋体" w:eastAsia="宋体" w:cs="宋体"/>
                <w:i w:val="0"/>
                <w:iCs w:val="0"/>
                <w:sz w:val="21"/>
                <w:szCs w:val="21"/>
              </w:rPr>
            </w:pPr>
            <w:r>
              <w:rPr>
                <w:rFonts w:hint="eastAsia" w:ascii="宋体" w:hAnsi="宋体" w:eastAsia="宋体" w:cs="宋体"/>
                <w:i w:val="0"/>
                <w:iCs w:val="0"/>
                <w:sz w:val="21"/>
                <w:szCs w:val="21"/>
              </w:rPr>
              <w:t>2）货物的标准附件、备品备件、专用工具的价格；</w:t>
            </w:r>
          </w:p>
          <w:p w14:paraId="507B68F0">
            <w:pPr>
              <w:spacing w:line="240" w:lineRule="auto"/>
              <w:rPr>
                <w:rFonts w:hint="eastAsia" w:ascii="宋体" w:hAnsi="宋体" w:eastAsia="宋体" w:cs="宋体"/>
                <w:i w:val="0"/>
                <w:iCs w:val="0"/>
                <w:sz w:val="21"/>
                <w:szCs w:val="21"/>
              </w:rPr>
            </w:pPr>
            <w:r>
              <w:rPr>
                <w:rFonts w:hint="eastAsia" w:ascii="宋体" w:hAnsi="宋体" w:eastAsia="宋体" w:cs="宋体"/>
                <w:i w:val="0"/>
                <w:iCs w:val="0"/>
                <w:sz w:val="21"/>
                <w:szCs w:val="21"/>
              </w:rPr>
              <w:t>3）运输、装卸、安装（含安装材料）、调试、培训、技术支持、售后服务的费用，质保期内免费维修、养护、软件升级等费用；</w:t>
            </w:r>
          </w:p>
          <w:p w14:paraId="71FC2937">
            <w:pPr>
              <w:spacing w:line="240" w:lineRule="auto"/>
              <w:rPr>
                <w:rFonts w:hint="eastAsia" w:ascii="宋体" w:hAnsi="宋体" w:eastAsia="宋体" w:cs="宋体"/>
                <w:b/>
                <w:bCs/>
                <w:color w:val="000000"/>
                <w:sz w:val="21"/>
                <w:szCs w:val="21"/>
              </w:rPr>
            </w:pPr>
            <w:r>
              <w:rPr>
                <w:rFonts w:hint="eastAsia" w:ascii="宋体" w:hAnsi="宋体" w:eastAsia="宋体" w:cs="宋体"/>
                <w:i w:val="0"/>
                <w:iCs w:val="0"/>
                <w:sz w:val="21"/>
                <w:szCs w:val="21"/>
              </w:rPr>
              <w:t>4）必要的保险、检测费用和各项税费等。</w:t>
            </w:r>
          </w:p>
        </w:tc>
      </w:tr>
      <w:tr w14:paraId="337C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694"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E434EEB">
            <w:pPr>
              <w:spacing w:line="240" w:lineRule="auto"/>
              <w:jc w:val="center"/>
              <w:rPr>
                <w:rFonts w:hint="eastAsia" w:ascii="宋体" w:hAnsi="宋体" w:eastAsia="宋体" w:cs="宋体"/>
                <w:b/>
                <w:bCs/>
                <w:color w:val="000000"/>
                <w:sz w:val="21"/>
                <w:szCs w:val="21"/>
              </w:rPr>
            </w:pPr>
            <w:r>
              <w:rPr>
                <w:rFonts w:hint="eastAsia" w:ascii="宋体" w:hAnsi="宋体" w:eastAsia="宋体" w:cs="宋体"/>
                <w:b/>
                <w:bCs/>
                <w:sz w:val="21"/>
                <w:szCs w:val="21"/>
              </w:rPr>
              <w:t>质保期</w:t>
            </w:r>
          </w:p>
        </w:tc>
        <w:tc>
          <w:tcPr>
            <w:tcW w:w="4305" w:type="pct"/>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412339E">
            <w:pPr>
              <w:spacing w:line="240" w:lineRule="auto"/>
              <w:rPr>
                <w:rFonts w:hint="eastAsia" w:ascii="宋体" w:hAnsi="宋体" w:eastAsia="宋体" w:cs="宋体"/>
                <w:i w:val="0"/>
                <w:iCs w:val="0"/>
                <w:sz w:val="21"/>
                <w:szCs w:val="21"/>
              </w:rPr>
            </w:pPr>
            <w:r>
              <w:rPr>
                <w:rFonts w:hint="eastAsia" w:ascii="宋体" w:hAnsi="宋体" w:eastAsia="宋体" w:cs="宋体"/>
                <w:b/>
                <w:i w:val="0"/>
                <w:iCs w:val="0"/>
                <w:sz w:val="21"/>
                <w:szCs w:val="21"/>
              </w:rPr>
              <w:t>1.质保期：</w:t>
            </w:r>
            <w:r>
              <w:rPr>
                <w:rFonts w:hint="eastAsia" w:ascii="宋体" w:hAnsi="宋体" w:eastAsia="宋体" w:cs="宋体"/>
                <w:b/>
                <w:i w:val="0"/>
                <w:iCs w:val="0"/>
                <w:sz w:val="21"/>
                <w:szCs w:val="21"/>
                <w:u w:val="single"/>
                <w:lang w:val="en-US" w:eastAsia="zh-CN"/>
              </w:rPr>
              <w:t>36</w:t>
            </w:r>
            <w:r>
              <w:rPr>
                <w:rFonts w:hint="eastAsia" w:ascii="宋体" w:hAnsi="宋体" w:eastAsia="宋体" w:cs="宋体"/>
                <w:b/>
                <w:i w:val="0"/>
                <w:iCs w:val="0"/>
                <w:sz w:val="21"/>
                <w:szCs w:val="21"/>
                <w:u w:val="single"/>
              </w:rPr>
              <w:t>个月</w:t>
            </w:r>
            <w:r>
              <w:rPr>
                <w:rFonts w:hint="eastAsia" w:ascii="宋体" w:hAnsi="宋体" w:eastAsia="宋体" w:cs="宋体"/>
                <w:b/>
                <w:i w:val="0"/>
                <w:iCs w:val="0"/>
                <w:sz w:val="21"/>
                <w:szCs w:val="21"/>
              </w:rPr>
              <w:t>。</w:t>
            </w:r>
          </w:p>
          <w:p w14:paraId="3307EE80">
            <w:pPr>
              <w:spacing w:line="240" w:lineRule="auto"/>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rPr>
              <w:t>2.所有货物服务按国家“三包”有关规定执行“三包”。质保期自交付验收合格之日起计算，质保期内提供上门维修、更换和软件升级服务；质保期结束后，优惠提供相关零配件。</w:t>
            </w:r>
          </w:p>
        </w:tc>
      </w:tr>
      <w:tr w14:paraId="34E4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694"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717AF72">
            <w:pPr>
              <w:spacing w:line="240" w:lineRule="auto"/>
              <w:jc w:val="center"/>
              <w:rPr>
                <w:rFonts w:hint="eastAsia" w:ascii="宋体" w:hAnsi="宋体" w:eastAsia="宋体" w:cs="宋体"/>
                <w:b/>
                <w:bCs/>
                <w:color w:val="000000"/>
                <w:sz w:val="21"/>
                <w:szCs w:val="21"/>
              </w:rPr>
            </w:pPr>
            <w:r>
              <w:rPr>
                <w:rFonts w:hint="eastAsia" w:ascii="宋体" w:hAnsi="宋体" w:eastAsia="宋体" w:cs="宋体"/>
                <w:b/>
                <w:bCs/>
                <w:sz w:val="21"/>
                <w:szCs w:val="21"/>
              </w:rPr>
              <w:t>产品及售后服务要求</w:t>
            </w:r>
          </w:p>
        </w:tc>
        <w:tc>
          <w:tcPr>
            <w:tcW w:w="4305" w:type="pct"/>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0127B8F">
            <w:pPr>
              <w:keepNext w:val="0"/>
              <w:keepLines w:val="0"/>
              <w:widowControl/>
              <w:suppressLineNumbers w:val="0"/>
              <w:spacing w:line="240" w:lineRule="auto"/>
              <w:jc w:val="left"/>
              <w:rPr>
                <w:rFonts w:hint="eastAsia" w:ascii="宋体" w:hAnsi="宋体" w:eastAsia="宋体" w:cs="宋体"/>
                <w:i w:val="0"/>
                <w:iCs w:val="0"/>
                <w:sz w:val="21"/>
                <w:szCs w:val="21"/>
              </w:rPr>
            </w:pPr>
            <w:r>
              <w:rPr>
                <w:rFonts w:hint="eastAsia" w:ascii="宋体" w:hAnsi="宋体" w:eastAsia="宋体" w:cs="宋体"/>
                <w:i w:val="0"/>
                <w:iCs w:val="0"/>
                <w:sz w:val="21"/>
                <w:szCs w:val="21"/>
              </w:rPr>
              <w:t>1.</w:t>
            </w:r>
            <w:r>
              <w:rPr>
                <w:rFonts w:hint="eastAsia" w:ascii="宋体" w:hAnsi="宋体" w:eastAsia="宋体" w:cs="宋体"/>
                <w:i w:val="0"/>
                <w:iCs w:val="0"/>
                <w:sz w:val="21"/>
                <w:szCs w:val="21"/>
                <w:lang w:val="en-US" w:eastAsia="zh-CN"/>
              </w:rPr>
              <w:t>免费提供全套、完整的技术资料，包括详细的产品说明书、操作使用手册和维护保养等有关资料。</w:t>
            </w:r>
            <w:r>
              <w:rPr>
                <w:rFonts w:hint="eastAsia" w:ascii="宋体" w:hAnsi="宋体" w:eastAsia="宋体" w:cs="宋体"/>
                <w:color w:val="0000FF"/>
                <w:kern w:val="0"/>
                <w:sz w:val="21"/>
                <w:szCs w:val="21"/>
                <w:lang w:val="en-US" w:eastAsia="zh-CN" w:bidi="ar"/>
              </w:rPr>
              <w:t xml:space="preserve"> </w:t>
            </w:r>
          </w:p>
          <w:p w14:paraId="392FC49E">
            <w:pPr>
              <w:spacing w:line="240" w:lineRule="auto"/>
              <w:rPr>
                <w:rFonts w:hint="eastAsia" w:ascii="宋体" w:hAnsi="宋体" w:eastAsia="宋体" w:cs="宋体"/>
                <w:b/>
                <w:i w:val="0"/>
                <w:iCs w:val="0"/>
                <w:sz w:val="21"/>
                <w:szCs w:val="21"/>
              </w:rPr>
            </w:pPr>
            <w:r>
              <w:rPr>
                <w:rFonts w:hint="eastAsia" w:ascii="宋体" w:hAnsi="宋体" w:eastAsia="宋体" w:cs="宋体"/>
                <w:i w:val="0"/>
                <w:iCs w:val="0"/>
                <w:sz w:val="21"/>
                <w:szCs w:val="21"/>
              </w:rPr>
              <w:t>2.送货至采购人指定地点，协助进行安装场地设计，完成安装和调试。所有安装符合国家、行业相关标准及规范。</w:t>
            </w:r>
            <w:r>
              <w:rPr>
                <w:rFonts w:hint="eastAsia" w:ascii="宋体" w:hAnsi="宋体" w:eastAsia="宋体" w:cs="宋体"/>
                <w:b/>
                <w:i w:val="0"/>
                <w:iCs w:val="0"/>
                <w:sz w:val="21"/>
                <w:szCs w:val="21"/>
              </w:rPr>
              <w:t>（所有货物仅接受现场交付，不接受邮递）</w:t>
            </w:r>
          </w:p>
          <w:p w14:paraId="5F26421D">
            <w:pPr>
              <w:spacing w:line="240" w:lineRule="auto"/>
              <w:rPr>
                <w:rFonts w:hint="eastAsia" w:ascii="宋体" w:hAnsi="宋体" w:eastAsia="宋体" w:cs="宋体"/>
                <w:i w:val="0"/>
                <w:iCs w:val="0"/>
                <w:sz w:val="21"/>
                <w:szCs w:val="21"/>
              </w:rPr>
            </w:pPr>
            <w:r>
              <w:rPr>
                <w:rFonts w:hint="eastAsia" w:ascii="宋体" w:hAnsi="宋体" w:eastAsia="宋体" w:cs="宋体"/>
                <w:i w:val="0"/>
                <w:iCs w:val="0"/>
                <w:sz w:val="21"/>
                <w:szCs w:val="21"/>
              </w:rPr>
              <w:t>3.为采购人提供产品操作、维修、日常养护等方面的培训，确保采购方使用人员能独立操作使用，培训人数、时间、地点等由采购人指定。</w:t>
            </w:r>
          </w:p>
          <w:p w14:paraId="54280FDD">
            <w:pPr>
              <w:spacing w:line="240" w:lineRule="auto"/>
              <w:rPr>
                <w:rFonts w:hint="eastAsia" w:ascii="宋体" w:hAnsi="宋体" w:eastAsia="宋体" w:cs="宋体"/>
                <w:i w:val="0"/>
                <w:iCs w:val="0"/>
                <w:sz w:val="21"/>
                <w:szCs w:val="21"/>
              </w:rPr>
            </w:pPr>
            <w:r>
              <w:rPr>
                <w:rFonts w:hint="eastAsia" w:ascii="宋体" w:hAnsi="宋体" w:eastAsia="宋体" w:cs="宋体"/>
                <w:i w:val="0"/>
                <w:iCs w:val="0"/>
                <w:sz w:val="21"/>
                <w:szCs w:val="21"/>
              </w:rPr>
              <w:t>4.故障响应时间：在使用过程中出现质量问题，成交人在接到采购人通知后</w:t>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rPr>
              <w:t>小时作出响应</w:t>
            </w:r>
            <w:r>
              <w:rPr>
                <w:rFonts w:hint="eastAsia" w:ascii="宋体" w:hAnsi="宋体" w:eastAsia="宋体" w:cs="宋体"/>
                <w:i w:val="0"/>
                <w:iCs w:val="0"/>
                <w:sz w:val="21"/>
                <w:szCs w:val="21"/>
                <w:lang w:val="en-US" w:eastAsia="zh-CN"/>
              </w:rPr>
              <w:t>，2小时内解决问题</w:t>
            </w:r>
            <w:r>
              <w:rPr>
                <w:rFonts w:hint="eastAsia" w:ascii="宋体" w:hAnsi="宋体" w:eastAsia="宋体" w:cs="宋体"/>
                <w:i w:val="0"/>
                <w:iCs w:val="0"/>
                <w:sz w:val="21"/>
                <w:szCs w:val="21"/>
              </w:rPr>
              <w:t>；如需到达现场解决的，在</w:t>
            </w:r>
            <w:r>
              <w:rPr>
                <w:rFonts w:hint="eastAsia" w:ascii="宋体" w:hAnsi="宋体" w:eastAsia="宋体" w:cs="宋体"/>
                <w:i w:val="0"/>
                <w:iCs w:val="0"/>
                <w:sz w:val="21"/>
                <w:szCs w:val="21"/>
                <w:lang w:val="en-US" w:eastAsia="zh-CN"/>
              </w:rPr>
              <w:t>24</w:t>
            </w:r>
            <w:r>
              <w:rPr>
                <w:rFonts w:hint="eastAsia" w:ascii="宋体" w:hAnsi="宋体" w:eastAsia="宋体" w:cs="宋体"/>
                <w:i w:val="0"/>
                <w:iCs w:val="0"/>
                <w:sz w:val="21"/>
                <w:szCs w:val="21"/>
              </w:rPr>
              <w:t>小时内到达现场</w:t>
            </w:r>
            <w:r>
              <w:rPr>
                <w:rFonts w:hint="eastAsia" w:ascii="宋体" w:hAnsi="宋体" w:eastAsia="宋体" w:cs="宋体"/>
                <w:i w:val="0"/>
                <w:iCs w:val="0"/>
                <w:sz w:val="21"/>
                <w:szCs w:val="21"/>
                <w:lang w:val="en-US" w:eastAsia="zh-CN"/>
              </w:rPr>
              <w:t>并解决问题</w:t>
            </w:r>
            <w:r>
              <w:rPr>
                <w:rFonts w:hint="eastAsia" w:ascii="宋体" w:hAnsi="宋体" w:eastAsia="宋体" w:cs="宋体"/>
                <w:i w:val="0"/>
                <w:iCs w:val="0"/>
                <w:sz w:val="21"/>
                <w:szCs w:val="21"/>
              </w:rPr>
              <w:t>。</w:t>
            </w:r>
          </w:p>
          <w:p w14:paraId="0A220BF2">
            <w:pPr>
              <w:spacing w:line="240" w:lineRule="auto"/>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5.提供的</w:t>
            </w:r>
            <w:r>
              <w:rPr>
                <w:rFonts w:hint="eastAsia" w:ascii="宋体" w:hAnsi="宋体" w:eastAsia="宋体" w:cs="宋体"/>
                <w:sz w:val="21"/>
                <w:szCs w:val="21"/>
              </w:rPr>
              <w:t>健康管理情景模拟沙盘对抗比赛平台软件</w:t>
            </w:r>
            <w:r>
              <w:rPr>
                <w:rFonts w:hint="eastAsia" w:ascii="宋体" w:hAnsi="宋体" w:eastAsia="宋体" w:cs="宋体"/>
                <w:sz w:val="21"/>
                <w:szCs w:val="21"/>
                <w:lang w:val="en-US" w:eastAsia="zh-CN"/>
              </w:rPr>
              <w:t>除学校本地安装部署外，还可提供备用云服务平台账号，在本地安装部署的软件出现故障时可立刻切换至云平台账号，保障软件正常使用；</w:t>
            </w:r>
          </w:p>
          <w:p w14:paraId="4A0D1F65">
            <w:pPr>
              <w:spacing w:line="240" w:lineRule="auto"/>
              <w:rPr>
                <w:rFonts w:hint="eastAsia" w:ascii="宋体" w:hAnsi="宋体" w:eastAsia="宋体" w:cs="宋体"/>
                <w:i w:val="0"/>
                <w:iCs w:val="0"/>
                <w:sz w:val="21"/>
                <w:szCs w:val="21"/>
                <w:lang w:val="en-US"/>
              </w:rPr>
            </w:pPr>
            <w:r>
              <w:rPr>
                <w:rFonts w:hint="eastAsia" w:ascii="宋体" w:hAnsi="宋体" w:eastAsia="宋体" w:cs="宋体"/>
                <w:i w:val="0"/>
                <w:iCs w:val="0"/>
                <w:sz w:val="21"/>
                <w:szCs w:val="21"/>
                <w:lang w:val="en-US" w:eastAsia="zh-CN"/>
              </w:rPr>
              <w:t>6.软件产品再质保期外提供三年免费售后服务，三年售后服务器内提供软件更新、升级、案例更新、案例增加等服务，三年售后服务期满后仍提供线上免费咨询和升级、更新等服务；</w:t>
            </w:r>
          </w:p>
          <w:p w14:paraId="02B08A08">
            <w:pPr>
              <w:spacing w:line="240" w:lineRule="auto"/>
              <w:rPr>
                <w:rFonts w:hint="eastAsia" w:ascii="宋体" w:hAnsi="宋体" w:eastAsia="宋体" w:cs="宋体"/>
                <w:b/>
                <w:bCs/>
                <w:color w:val="000000"/>
                <w:sz w:val="21"/>
                <w:szCs w:val="21"/>
              </w:rPr>
            </w:pPr>
            <w:r>
              <w:rPr>
                <w:rFonts w:hint="eastAsia" w:ascii="宋体" w:hAnsi="宋体" w:eastAsia="宋体" w:cs="宋体"/>
                <w:i w:val="0"/>
                <w:iCs w:val="0"/>
                <w:sz w:val="21"/>
                <w:szCs w:val="21"/>
                <w:lang w:val="en-US" w:eastAsia="zh-CN"/>
              </w:rPr>
              <w:t>7</w:t>
            </w:r>
            <w:r>
              <w:rPr>
                <w:rFonts w:hint="eastAsia" w:ascii="宋体" w:hAnsi="宋体" w:eastAsia="宋体" w:cs="宋体"/>
                <w:i w:val="0"/>
                <w:iCs w:val="0"/>
                <w:sz w:val="21"/>
                <w:szCs w:val="21"/>
              </w:rPr>
              <w:t>.成交人须遵守校园出入规定，在供货、安装过程中确保相关人员安全。供货、安装过程中产生的残留物或垃圾，成交人需自行清理至校外。</w:t>
            </w:r>
          </w:p>
        </w:tc>
      </w:tr>
      <w:tr w14:paraId="436E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694"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580FC44">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交付时间</w:t>
            </w:r>
          </w:p>
        </w:tc>
        <w:tc>
          <w:tcPr>
            <w:tcW w:w="4305" w:type="pct"/>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2B116A9">
            <w:pPr>
              <w:spacing w:line="240" w:lineRule="auto"/>
              <w:rPr>
                <w:rFonts w:hint="eastAsia" w:ascii="宋体" w:hAnsi="宋体" w:eastAsia="宋体" w:cs="宋体"/>
                <w:i w:val="0"/>
                <w:iCs w:val="0"/>
                <w:spacing w:val="-2"/>
                <w:sz w:val="21"/>
                <w:szCs w:val="21"/>
              </w:rPr>
            </w:pPr>
            <w:r>
              <w:rPr>
                <w:rFonts w:hint="eastAsia" w:ascii="宋体" w:hAnsi="宋体" w:eastAsia="宋体" w:cs="宋体"/>
                <w:i w:val="0"/>
                <w:iCs w:val="0"/>
                <w:spacing w:val="-2"/>
                <w:sz w:val="21"/>
                <w:szCs w:val="21"/>
              </w:rPr>
              <w:t>1.交付时间：自签订合同之日起</w:t>
            </w:r>
            <w:r>
              <w:rPr>
                <w:rFonts w:hint="eastAsia" w:ascii="宋体" w:hAnsi="宋体" w:eastAsia="宋体" w:cs="宋体"/>
                <w:b/>
                <w:i w:val="0"/>
                <w:iCs w:val="0"/>
                <w:spacing w:val="-2"/>
                <w:sz w:val="21"/>
                <w:szCs w:val="21"/>
                <w:u w:val="single"/>
              </w:rPr>
              <w:t xml:space="preserve">    </w:t>
            </w:r>
            <w:r>
              <w:rPr>
                <w:rFonts w:hint="eastAsia" w:ascii="宋体" w:hAnsi="宋体" w:eastAsia="宋体" w:cs="宋体"/>
                <w:b/>
                <w:i w:val="0"/>
                <w:iCs w:val="0"/>
                <w:spacing w:val="-2"/>
                <w:sz w:val="21"/>
                <w:szCs w:val="21"/>
                <w:u w:val="single"/>
                <w:lang w:val="en-US" w:eastAsia="zh-CN"/>
              </w:rPr>
              <w:t>30</w:t>
            </w:r>
            <w:r>
              <w:rPr>
                <w:rFonts w:hint="eastAsia" w:ascii="宋体" w:hAnsi="宋体" w:eastAsia="宋体" w:cs="宋体"/>
                <w:b/>
                <w:i w:val="0"/>
                <w:iCs w:val="0"/>
                <w:spacing w:val="-2"/>
                <w:sz w:val="21"/>
                <w:szCs w:val="21"/>
                <w:u w:val="single"/>
              </w:rPr>
              <w:t xml:space="preserve">日内   </w:t>
            </w:r>
            <w:r>
              <w:rPr>
                <w:rFonts w:hint="eastAsia" w:ascii="宋体" w:hAnsi="宋体" w:eastAsia="宋体" w:cs="宋体"/>
                <w:i w:val="0"/>
                <w:iCs w:val="0"/>
                <w:spacing w:val="-2"/>
                <w:sz w:val="21"/>
                <w:szCs w:val="21"/>
              </w:rPr>
              <w:t>全部交付完成并验收合格。</w:t>
            </w:r>
          </w:p>
          <w:p w14:paraId="1813B9F5">
            <w:pPr>
              <w:spacing w:line="240" w:lineRule="auto"/>
              <w:rPr>
                <w:rFonts w:hint="eastAsia" w:ascii="宋体" w:hAnsi="宋体" w:eastAsia="宋体" w:cs="宋体"/>
                <w:sz w:val="21"/>
                <w:szCs w:val="21"/>
              </w:rPr>
            </w:pPr>
            <w:r>
              <w:rPr>
                <w:rFonts w:hint="eastAsia" w:ascii="宋体" w:hAnsi="宋体" w:eastAsia="宋体" w:cs="宋体"/>
                <w:i w:val="0"/>
                <w:iCs w:val="0"/>
                <w:sz w:val="21"/>
                <w:szCs w:val="21"/>
              </w:rPr>
              <w:t>2.交付地点：广西</w:t>
            </w:r>
            <w:r>
              <w:rPr>
                <w:rFonts w:hint="eastAsia" w:ascii="宋体" w:hAnsi="宋体" w:eastAsia="宋体" w:cs="宋体"/>
                <w:i w:val="0"/>
                <w:iCs w:val="0"/>
                <w:sz w:val="21"/>
                <w:szCs w:val="21"/>
                <w:lang w:val="en-US" w:eastAsia="zh-CN"/>
              </w:rPr>
              <w:t>中医药</w:t>
            </w:r>
            <w:r>
              <w:rPr>
                <w:rFonts w:hint="eastAsia" w:ascii="宋体" w:hAnsi="宋体" w:eastAsia="宋体" w:cs="宋体"/>
                <w:i w:val="0"/>
                <w:iCs w:val="0"/>
                <w:sz w:val="21"/>
                <w:szCs w:val="21"/>
              </w:rPr>
              <w:t>大学</w:t>
            </w:r>
            <w:r>
              <w:rPr>
                <w:rFonts w:hint="eastAsia" w:ascii="宋体" w:hAnsi="宋体" w:eastAsia="宋体" w:cs="宋体"/>
                <w:i w:val="0"/>
                <w:iCs w:val="0"/>
                <w:sz w:val="21"/>
                <w:szCs w:val="21"/>
                <w:lang w:val="en-US" w:eastAsia="zh-CN"/>
              </w:rPr>
              <w:t>仙葫校区自诚楼</w:t>
            </w:r>
            <w:r>
              <w:rPr>
                <w:rFonts w:hint="eastAsia" w:ascii="宋体" w:hAnsi="宋体" w:eastAsia="宋体" w:cs="宋体"/>
                <w:i w:val="0"/>
                <w:iCs w:val="0"/>
                <w:sz w:val="21"/>
                <w:szCs w:val="21"/>
              </w:rPr>
              <w:t>。</w:t>
            </w:r>
          </w:p>
        </w:tc>
      </w:tr>
      <w:tr w14:paraId="7C37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000" w:type="pct"/>
            <w:gridSpan w:val="8"/>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F368DE6">
            <w:pPr>
              <w:spacing w:line="24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三、其它要求</w:t>
            </w:r>
          </w:p>
        </w:tc>
      </w:tr>
      <w:tr w14:paraId="5386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000" w:type="pct"/>
            <w:gridSpan w:val="8"/>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3EE8D69">
            <w:pPr>
              <w:numPr>
                <w:ilvl w:val="0"/>
                <w:numId w:val="1"/>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能够支撑公共卫生与管理学院参加全国性大学生学科竞赛等活动，包括健康服务与管理、公共事业管理等专业领域的竞赛。</w:t>
            </w:r>
          </w:p>
          <w:p w14:paraId="049E5DA6">
            <w:pPr>
              <w:numPr>
                <w:ilvl w:val="0"/>
                <w:numId w:val="1"/>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健康管理情景模拟沙盘对抗比赛平台软件</w:t>
            </w:r>
            <w:r>
              <w:rPr>
                <w:rFonts w:hint="eastAsia" w:ascii="宋体" w:hAnsi="宋体" w:eastAsia="宋体" w:cs="宋体"/>
                <w:sz w:val="21"/>
                <w:szCs w:val="21"/>
                <w:lang w:val="en-US" w:eastAsia="zh-CN"/>
              </w:rPr>
              <w:t>提供国家版权局出具的计算机软件著作权登记证书。</w:t>
            </w:r>
          </w:p>
        </w:tc>
      </w:tr>
    </w:tbl>
    <w:p w14:paraId="1B896AE0">
      <w:pPr>
        <w:rPr>
          <w:rFonts w:ascii="宋体" w:hAnsi="宋体" w:cs="仿宋"/>
          <w:bCs/>
          <w:color w:val="000000"/>
        </w:rPr>
      </w:pPr>
      <w:r>
        <w:rPr>
          <w:rFonts w:hint="eastAsia" w:ascii="宋体" w:hAnsi="宋体" w:cs="仿宋"/>
          <w:color w:val="000000"/>
          <w:sz w:val="18"/>
        </w:rPr>
        <w:t>注：所有价格均用人民币表示，单位为元，精确到小数点后两位。</w:t>
      </w:r>
    </w:p>
    <w:p w14:paraId="46B5B070">
      <w:pPr>
        <w:spacing w:line="460" w:lineRule="exact"/>
        <w:rPr>
          <w:rFonts w:ascii="宋体" w:hAnsi="宋体" w:cs="仿宋"/>
          <w:bCs/>
          <w:color w:val="000000"/>
        </w:rPr>
      </w:pPr>
    </w:p>
    <w:p w14:paraId="26AEFE8B">
      <w:pPr>
        <w:spacing w:line="360" w:lineRule="auto"/>
        <w:ind w:left="10" w:leftChars="5" w:firstLine="554" w:firstLineChars="198"/>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lang w:val="en-US" w:eastAsia="zh-CN"/>
        </w:rPr>
        <w:t xml:space="preserve">                    </w:t>
      </w:r>
      <w:r>
        <w:rPr>
          <w:rFonts w:hint="eastAsia" w:ascii="宋体" w:hAnsi="宋体" w:cs="宋体"/>
          <w:sz w:val="28"/>
          <w:szCs w:val="28"/>
        </w:rPr>
        <w:t>（公章）</w:t>
      </w:r>
    </w:p>
    <w:p w14:paraId="121CF1C5">
      <w:pPr>
        <w:spacing w:line="360" w:lineRule="auto"/>
        <w:ind w:left="10" w:leftChars="5" w:firstLine="554" w:firstLineChars="198"/>
        <w:rPr>
          <w:rFonts w:ascii="宋体" w:hAnsi="宋体" w:cs="宋体"/>
          <w:sz w:val="28"/>
          <w:szCs w:val="28"/>
        </w:rPr>
      </w:pPr>
      <w:r>
        <w:rPr>
          <w:rFonts w:hint="eastAsia" w:ascii="宋体" w:hAnsi="宋体" w:cs="宋体"/>
          <w:sz w:val="28"/>
          <w:szCs w:val="28"/>
        </w:rPr>
        <w:t>法定代表人或委托代理人：</w:t>
      </w:r>
      <w:r>
        <w:rPr>
          <w:rFonts w:hint="eastAsia" w:ascii="宋体" w:hAnsi="宋体" w:cs="宋体"/>
          <w:sz w:val="28"/>
          <w:szCs w:val="28"/>
          <w:u w:val="single"/>
        </w:rPr>
        <w:t xml:space="preserve">        </w:t>
      </w:r>
      <w:r>
        <w:rPr>
          <w:rFonts w:hint="eastAsia" w:ascii="宋体" w:hAnsi="宋体" w:cs="宋体"/>
          <w:sz w:val="28"/>
          <w:szCs w:val="28"/>
        </w:rPr>
        <w:t>（签字或签章）</w:t>
      </w:r>
    </w:p>
    <w:p w14:paraId="0D4CD112">
      <w:pPr>
        <w:spacing w:line="360" w:lineRule="auto"/>
        <w:ind w:left="10" w:leftChars="5" w:firstLine="554" w:firstLineChars="198"/>
        <w:rPr>
          <w:rFonts w:ascii="宋体" w:hAnsi="宋体" w:cs="宋体"/>
          <w:sz w:val="28"/>
          <w:szCs w:val="28"/>
        </w:rPr>
      </w:pPr>
      <w:r>
        <w:rPr>
          <w:rFonts w:hint="eastAsia" w:ascii="宋体" w:hAnsi="宋体" w:cs="宋体"/>
          <w:sz w:val="28"/>
          <w:szCs w:val="28"/>
        </w:rPr>
        <w:t>供应商地址：</w:t>
      </w:r>
      <w:r>
        <w:rPr>
          <w:rFonts w:hint="eastAsia" w:ascii="宋体" w:hAnsi="宋体" w:cs="宋体"/>
          <w:sz w:val="28"/>
          <w:szCs w:val="28"/>
          <w:u w:val="single"/>
          <w:lang w:val="en-US" w:eastAsia="zh-CN"/>
        </w:rPr>
        <w:t xml:space="preserve">                </w:t>
      </w:r>
      <w:r>
        <w:rPr>
          <w:rFonts w:ascii="宋体" w:hAnsi="宋体" w:cs="宋体"/>
          <w:sz w:val="28"/>
          <w:szCs w:val="28"/>
          <w:u w:val="single"/>
        </w:rPr>
        <w:t xml:space="preserve">                 </w:t>
      </w:r>
    </w:p>
    <w:p w14:paraId="047FCDA9">
      <w:pPr>
        <w:spacing w:line="360" w:lineRule="auto"/>
        <w:ind w:left="10" w:leftChars="5" w:firstLine="554" w:firstLineChars="198"/>
        <w:rPr>
          <w:rFonts w:ascii="宋体" w:hAnsi="宋体" w:cs="宋体"/>
          <w:sz w:val="28"/>
          <w:szCs w:val="28"/>
        </w:rPr>
      </w:pPr>
      <w:r>
        <w:rPr>
          <w:rFonts w:hint="eastAsia" w:ascii="宋体" w:hAnsi="宋体" w:cs="宋体"/>
          <w:sz w:val="28"/>
          <w:szCs w:val="28"/>
        </w:rPr>
        <w:t>供应商联系方式：</w:t>
      </w:r>
      <w:r>
        <w:rPr>
          <w:rFonts w:hint="eastAsia" w:ascii="宋体" w:hAnsi="宋体" w:cs="宋体"/>
          <w:sz w:val="28"/>
          <w:szCs w:val="28"/>
          <w:u w:val="single"/>
          <w:lang w:val="en-US" w:eastAsia="zh-CN"/>
        </w:rPr>
        <w:t xml:space="preserve">                </w:t>
      </w:r>
      <w:r>
        <w:rPr>
          <w:rFonts w:hint="eastAsia" w:ascii="宋体" w:hAnsi="宋体" w:cs="宋体"/>
          <w:sz w:val="28"/>
          <w:szCs w:val="28"/>
        </w:rPr>
        <w:t>（联系人、联系电话）</w:t>
      </w:r>
    </w:p>
    <w:p w14:paraId="7792874B">
      <w:pPr>
        <w:widowControl/>
        <w:spacing w:line="360" w:lineRule="auto"/>
        <w:ind w:left="0" w:leftChars="0" w:firstLine="638" w:firstLineChars="228"/>
        <w:jc w:val="left"/>
      </w:pPr>
      <w:r>
        <w:rPr>
          <w:rFonts w:hint="eastAsia" w:ascii="宋体" w:hAnsi="宋体" w:cs="宋体"/>
          <w:sz w:val="28"/>
          <w:szCs w:val="28"/>
        </w:rPr>
        <w:t>日期：</w:t>
      </w:r>
      <w:r>
        <w:rPr>
          <w:rFonts w:hint="eastAsia" w:ascii="宋体" w:hAnsi="宋体" w:cs="宋体"/>
          <w:sz w:val="28"/>
          <w:szCs w:val="28"/>
          <w:u w:val="single"/>
          <w:lang w:val="en-US" w:eastAsia="zh-CN"/>
        </w:rPr>
        <w:t>2025</w:t>
      </w:r>
      <w:r>
        <w:rPr>
          <w:rFonts w:hint="eastAsia" w:ascii="宋体" w:hAnsi="宋体" w:cs="宋体"/>
          <w:sz w:val="28"/>
          <w:szCs w:val="28"/>
        </w:rPr>
        <w:t>年</w:t>
      </w:r>
      <w:r>
        <w:rPr>
          <w:rFonts w:hint="eastAsia" w:ascii="宋体" w:hAnsi="宋体" w:cs="宋体"/>
          <w:sz w:val="28"/>
          <w:szCs w:val="28"/>
          <w:u w:val="single"/>
          <w:lang w:val="en-US" w:eastAsia="zh-CN"/>
        </w:rPr>
        <w:t xml:space="preserve">   </w:t>
      </w:r>
      <w:r>
        <w:rPr>
          <w:rFonts w:hint="eastAsia" w:ascii="宋体" w:hAnsi="宋体" w:cs="宋体"/>
          <w:sz w:val="28"/>
          <w:szCs w:val="28"/>
        </w:rPr>
        <w:t>月</w:t>
      </w:r>
      <w:r>
        <w:rPr>
          <w:rFonts w:hint="eastAsia" w:ascii="宋体" w:hAnsi="宋体" w:cs="宋体"/>
          <w:sz w:val="28"/>
          <w:szCs w:val="28"/>
          <w:u w:val="single"/>
          <w:lang w:val="en-US" w:eastAsia="zh-CN"/>
        </w:rPr>
        <w:t xml:space="preserve">   </w:t>
      </w:r>
      <w:r>
        <w:rPr>
          <w:rFonts w:hint="eastAsia" w:ascii="宋体" w:hAnsi="宋体" w:cs="宋体"/>
          <w:sz w:val="28"/>
          <w:szCs w:val="28"/>
        </w:rPr>
        <w:t>日</w:t>
      </w:r>
    </w:p>
    <w:p w14:paraId="02C77150">
      <w:pPr>
        <w:spacing w:line="360" w:lineRule="auto"/>
        <w:ind w:left="8" w:leftChars="1" w:hanging="6" w:hangingChars="3"/>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001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38E8A"/>
    <w:multiLevelType w:val="singleLevel"/>
    <w:tmpl w:val="B2F38E8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65498"/>
    <w:rsid w:val="01336206"/>
    <w:rsid w:val="083A0C0C"/>
    <w:rsid w:val="09A1725A"/>
    <w:rsid w:val="18EC78F1"/>
    <w:rsid w:val="1CE22A3F"/>
    <w:rsid w:val="1D97029A"/>
    <w:rsid w:val="21031358"/>
    <w:rsid w:val="25D65498"/>
    <w:rsid w:val="323555AB"/>
    <w:rsid w:val="3A95168E"/>
    <w:rsid w:val="503A2557"/>
    <w:rsid w:val="5896460F"/>
    <w:rsid w:val="5EA06860"/>
    <w:rsid w:val="6D216B86"/>
    <w:rsid w:val="78466E62"/>
    <w:rsid w:val="7EFD7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customStyle="1" w:styleId="8">
    <w:name w:val="font11"/>
    <w:basedOn w:val="5"/>
    <w:qFormat/>
    <w:uiPriority w:val="0"/>
    <w:rPr>
      <w:rFonts w:hint="eastAsia" w:ascii="宋体" w:hAnsi="宋体" w:eastAsia="宋体" w:cs="宋体"/>
      <w:color w:val="000000"/>
      <w:sz w:val="22"/>
      <w:szCs w:val="22"/>
      <w:u w:val="none"/>
    </w:rPr>
  </w:style>
  <w:style w:type="character" w:customStyle="1" w:styleId="9">
    <w:name w:val="font51"/>
    <w:basedOn w:val="5"/>
    <w:qFormat/>
    <w:uiPriority w:val="0"/>
    <w:rPr>
      <w:rFonts w:hint="eastAsia" w:ascii="宋体" w:hAnsi="宋体" w:eastAsia="宋体" w:cs="宋体"/>
      <w:color w:val="000000"/>
      <w:sz w:val="22"/>
      <w:szCs w:val="22"/>
      <w:u w:val="none"/>
    </w:rPr>
  </w:style>
  <w:style w:type="character" w:customStyle="1" w:styleId="10">
    <w:name w:val="font3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15055</Words>
  <Characters>17976</Characters>
  <Lines>0</Lines>
  <Paragraphs>0</Paragraphs>
  <TotalTime>1</TotalTime>
  <ScaleCrop>false</ScaleCrop>
  <LinksUpToDate>false</LinksUpToDate>
  <CharactersWithSpaces>18394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2025-06-13T09:20:00Z</dcterms:created>
  <dc:creator>文军</dc:creator>
  <cp:lastModifiedBy>Administrator</cp:lastModifiedBy>
  <cp:lastPrinted>2025-06-17T07:33:00Z</cp:lastPrinted>
  <dcterms:modified xsi:type="dcterms:W3CDTF">2025-07-02T07:45:51Z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113A307CF9E6493EA693ED00E745D46A_13</vt:lpwstr>
  </property>
  <property fmtid="{D5CDD505-2E9C-101B-9397-08002B2CF9AE}" pid="4" name="KSOTemplateDocerSaveRecord">
    <vt:lpwstr>eyJoZGlkIjoiYzk1NmEyYzkzNDllOWE2ZWE3YzQ2NGJiOGNjOTQyMTkifQ==</vt:lpwstr>
  </property>
</Properties>
</file>