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1EC8">
      <w:pPr>
        <w:pStyle w:val="2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460" w:lineRule="exact"/>
        <w:rPr>
          <w:rFonts w:hint="default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>附件 3：采购需求</w:t>
      </w:r>
    </w:p>
    <w:p w14:paraId="3C148583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460" w:lineRule="exact"/>
        <w:ind w:firstLine="482" w:firstLineChars="200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一、项目概况</w:t>
      </w:r>
    </w:p>
    <w:p w14:paraId="09FF422F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460" w:lineRule="exact"/>
        <w:ind w:firstLine="480" w:firstLineChars="200"/>
        <w:jc w:val="left"/>
        <w:rPr>
          <w:color w:val="000000"/>
          <w:sz w:val="24"/>
        </w:rPr>
      </w:pPr>
      <w:r>
        <w:rPr>
          <w:rFonts w:ascii="宋体" w:hAnsi="宋体" w:eastAsia="宋体" w:cs="宋体"/>
          <w:color w:val="000000"/>
          <w:kern w:val="0"/>
          <w:sz w:val="24"/>
          <w:lang w:bidi="ar"/>
        </w:rPr>
        <w:t>项目名称：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 w:bidi="ar"/>
        </w:rPr>
        <w:t>广西中医药大学百年乐制药有限公司药品配送专用皮卡车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采购项目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（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编号：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 w:bidi="ar"/>
        </w:rPr>
        <w:t>BNL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-202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6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 w:bidi="ar"/>
        </w:rPr>
        <w:t>ZJT</w:t>
      </w:r>
      <w:r>
        <w:rPr>
          <w:rFonts w:ascii="宋体" w:hAnsi="宋体" w:eastAsia="宋体" w:cs="宋体"/>
          <w:color w:val="000000"/>
          <w:kern w:val="0"/>
          <w:sz w:val="24"/>
          <w:highlight w:val="none"/>
          <w:lang w:bidi="ar"/>
        </w:rPr>
        <w:t>-0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 w:bidi="ar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bidi="ar"/>
        </w:rPr>
        <w:t>）</w:t>
      </w:r>
    </w:p>
    <w:p w14:paraId="52F60BAD">
      <w:pPr>
        <w:pStyle w:val="3"/>
        <w:keepNext w:val="0"/>
        <w:keepLines w:val="0"/>
        <w:pageBreakBefore w:val="0"/>
        <w:widowControl/>
        <w:wordWrap/>
        <w:overflowPunct/>
        <w:topLinePunct w:val="0"/>
        <w:bidi w:val="0"/>
        <w:spacing w:beforeAutospacing="0" w:afterAutospacing="0" w:line="460" w:lineRule="exact"/>
        <w:ind w:firstLine="482" w:firstLineChars="200"/>
        <w:rPr>
          <w:rFonts w:hint="default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二、▲实质性技术参数要求（必须满足）</w:t>
      </w:r>
    </w:p>
    <w:p w14:paraId="31C6CC62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</w:pPr>
    </w:p>
    <w:tbl>
      <w:tblPr>
        <w:tblStyle w:val="5"/>
        <w:tblW w:w="5457" w:type="pct"/>
        <w:tblInd w:w="-417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0"/>
        <w:gridCol w:w="6027"/>
        <w:gridCol w:w="879"/>
        <w:gridCol w:w="594"/>
      </w:tblGrid>
      <w:tr w14:paraId="094008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4B29EC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▲</w:t>
            </w: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一、技术要求</w:t>
            </w:r>
          </w:p>
        </w:tc>
      </w:tr>
      <w:tr w14:paraId="1E2B24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03D17A7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46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采购内容</w:t>
            </w:r>
          </w:p>
        </w:tc>
        <w:tc>
          <w:tcPr>
            <w:tcW w:w="3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2AD086D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技术参数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0315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计量</w:t>
            </w:r>
          </w:p>
          <w:p w14:paraId="28ED51C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B06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6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</w:tr>
      <w:tr w14:paraId="60DB5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9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 w14:paraId="192E1949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napToGrid w:val="0"/>
              <w:spacing w:line="4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  <w:t>药品配送专用皮卡车</w:t>
            </w:r>
          </w:p>
        </w:tc>
        <w:tc>
          <w:tcPr>
            <w:tcW w:w="32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3" w:type="dxa"/>
              <w:left w:w="57" w:type="dxa"/>
              <w:bottom w:w="0" w:type="dxa"/>
              <w:right w:w="57" w:type="dxa"/>
            </w:tcMar>
          </w:tcPr>
          <w:p w14:paraId="52B9B7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一、基本要求</w:t>
            </w:r>
          </w:p>
          <w:p w14:paraId="7C7169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车辆类型：一体式厢式皮卡车或多用途乘用车</w:t>
            </w:r>
          </w:p>
          <w:p w14:paraId="7F73B3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座位数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5</w:t>
            </w:r>
          </w:p>
          <w:p w14:paraId="7E574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车身颜色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、灰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色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、白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色</w:t>
            </w:r>
          </w:p>
          <w:p w14:paraId="13936C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燃油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汽油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或柴油</w:t>
            </w:r>
          </w:p>
          <w:p w14:paraId="3FD0A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二、技术参数</w:t>
            </w:r>
          </w:p>
          <w:p w14:paraId="5BB1E6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发动机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2.0T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或以上的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发动机</w:t>
            </w:r>
          </w:p>
          <w:p w14:paraId="771943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变速箱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手自一体变速箱</w:t>
            </w:r>
          </w:p>
          <w:p w14:paraId="3C9D33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车身尺寸 (mm)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5252×1864×1989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长、宽、高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）</w:t>
            </w:r>
          </w:p>
          <w:p w14:paraId="280111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轴距 (mm)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3150</w:t>
            </w:r>
          </w:p>
          <w:p w14:paraId="54A20E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最小离地间隙 (mm)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209</w:t>
            </w:r>
          </w:p>
          <w:p w14:paraId="19A32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排放标准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国VIb排放标准（带OBD）</w:t>
            </w:r>
          </w:p>
          <w:p w14:paraId="411195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安全气囊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标配主副驾安全气囊</w:t>
            </w:r>
          </w:p>
          <w:p w14:paraId="7D1474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安全系统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ABS+EBD+EBA+ASR+ESC安全系统</w:t>
            </w:r>
          </w:p>
          <w:p w14:paraId="589E33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9.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车窗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四门电动车窗</w:t>
            </w:r>
          </w:p>
          <w:p w14:paraId="558AD3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10.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雾灯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前雾灯、后雾灯</w:t>
            </w:r>
          </w:p>
          <w:p w14:paraId="357040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中控屏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十寸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auto"/>
                <w:sz w:val="24"/>
                <w:szCs w:val="24"/>
                <w:lang w:val="en-US" w:eastAsia="zh-CN"/>
              </w:rPr>
              <w:t>及以上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中控彩屏带倒车影像</w:t>
            </w:r>
          </w:p>
          <w:p w14:paraId="65E45E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12.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雷达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后雷达</w:t>
            </w:r>
          </w:p>
          <w:p w14:paraId="4BCCFD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13.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大灯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LED大灯</w:t>
            </w:r>
          </w:p>
          <w:p w14:paraId="51E0C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14.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日行灯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LED日间行车灯</w:t>
            </w:r>
          </w:p>
          <w:p w14:paraId="702F03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15.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制动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四轮碟刹</w:t>
            </w:r>
          </w:p>
          <w:p w14:paraId="2F95F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16.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空调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手动空调</w:t>
            </w:r>
          </w:p>
          <w:p w14:paraId="7710CB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17.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碰撞保护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碰撞自动熄火保护</w:t>
            </w:r>
          </w:p>
          <w:p w14:paraId="374227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val="en-US" w:eastAsia="zh-CN"/>
              </w:rPr>
              <w:t>18.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侧防撞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sz w:val="24"/>
                <w:szCs w:val="24"/>
              </w:rPr>
              <w:t>高刚性侧防撞梁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51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kern w:val="0"/>
                <w:szCs w:val="21"/>
                <w:u w:val="none"/>
                <w:shd w:val="clear" w:fill="auto"/>
                <w:lang w:bidi="zh-CN"/>
              </w:rPr>
              <w:t>台</w:t>
            </w:r>
          </w:p>
        </w:tc>
        <w:tc>
          <w:tcPr>
            <w:tcW w:w="32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B1320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zh-CN"/>
              </w:rPr>
              <w:t>1</w:t>
            </w:r>
          </w:p>
        </w:tc>
      </w:tr>
    </w:tbl>
    <w:tbl>
      <w:tblPr>
        <w:tblStyle w:val="5"/>
        <w:tblpPr w:leftFromText="180" w:rightFromText="180" w:vertAnchor="text" w:horzAnchor="page" w:tblpX="1425" w:tblpY="18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7396"/>
      </w:tblGrid>
      <w:tr w14:paraId="5B8D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AB4E">
            <w:pPr>
              <w:keepNext w:val="0"/>
              <w:keepLines w:val="0"/>
              <w:pageBreakBefore w:val="0"/>
              <w:tabs>
                <w:tab w:val="left" w:pos="1820"/>
              </w:tabs>
              <w:wordWrap/>
              <w:overflowPunct/>
              <w:topLinePunct w:val="0"/>
              <w:bidi w:val="0"/>
              <w:spacing w:line="4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二、</w:t>
            </w:r>
            <w:r>
              <w:rPr>
                <w:rFonts w:hint="eastAsia" w:ascii="宋体" w:hAnsi="宋体"/>
                <w:b/>
                <w:sz w:val="24"/>
              </w:rPr>
              <w:t>▲</w:t>
            </w:r>
            <w:r>
              <w:rPr>
                <w:rFonts w:hint="eastAsia" w:ascii="宋体" w:hAnsi="宋体" w:cs="宋体"/>
                <w:kern w:val="0"/>
                <w:szCs w:val="21"/>
              </w:rPr>
              <w:t>商务需求</w:t>
            </w:r>
          </w:p>
        </w:tc>
      </w:tr>
      <w:tr w14:paraId="569F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sz w:val="24"/>
                <w:szCs w:val="24"/>
              </w:rPr>
              <w:t>服务要求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0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所投车辆须为全新原厂原装车辆，交付时厂家提供车辆合格证、一致性证书、购车发票等，具备完整合法手续，符合国家现行机动车安全、环保、节能标准，可正常办理注册登记。</w:t>
            </w:r>
          </w:p>
          <w:p w14:paraId="126BA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2. 协助采购人完成上牌等相关事宜。</w:t>
            </w:r>
          </w:p>
          <w:p w14:paraId="2CCFA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3. 为采购人提供车辆操作、日常养护等方面的培训。</w:t>
            </w:r>
          </w:p>
          <w:p w14:paraId="3D46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sz w:val="24"/>
                <w:szCs w:val="24"/>
              </w:rPr>
              <w:t>4. 故障响应时间：接到通知后8小时内到场，24小时内维修完毕；紧急抢修需2小时内到场并排除故障。</w:t>
            </w:r>
          </w:p>
        </w:tc>
      </w:tr>
      <w:tr w14:paraId="7A81B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0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Style w:val="7"/>
                <w:rFonts w:hint="default" w:eastAsiaTheme="minorEastAsia"/>
                <w:bCs/>
                <w:color w:val="000000"/>
                <w:sz w:val="24"/>
                <w:lang w:val="en-US" w:eastAsia="zh-CN"/>
              </w:rPr>
            </w:pPr>
            <w:r>
              <w:rPr>
                <w:sz w:val="24"/>
                <w:szCs w:val="24"/>
              </w:rPr>
              <w:t>服务时间及地点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5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交付时间：自签订合同之日起40个工作日内完成交付。</w:t>
            </w:r>
          </w:p>
          <w:p w14:paraId="2CA0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eastAsiaTheme="minorEastAsia"/>
                <w:color w:val="000000"/>
                <w:sz w:val="24"/>
                <w:lang w:val="en-US" w:eastAsia="zh-CN"/>
              </w:rPr>
            </w:pPr>
            <w:r>
              <w:rPr>
                <w:sz w:val="24"/>
                <w:szCs w:val="24"/>
              </w:rPr>
              <w:t>2. 交付地点：南宁市内。</w:t>
            </w:r>
          </w:p>
        </w:tc>
      </w:tr>
      <w:tr w14:paraId="00226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9E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z w:val="24"/>
                <w:szCs w:val="24"/>
              </w:rPr>
              <w:t>付款方式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sz w:val="24"/>
                <w:szCs w:val="24"/>
              </w:rPr>
              <w:t>验收合格后一次性支付。</w:t>
            </w:r>
          </w:p>
        </w:tc>
      </w:tr>
      <w:tr w14:paraId="31C7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9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z w:val="24"/>
                <w:szCs w:val="24"/>
              </w:rPr>
              <w:t>报价要求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AE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sz w:val="24"/>
                <w:szCs w:val="24"/>
              </w:rPr>
              <w:t>本次报价须为人民币包干报价，包含：产品费、运输费、装卸费、安装调试费、辅材费</w:t>
            </w:r>
            <w:bookmarkStart w:id="0" w:name="_GoBack"/>
            <w:bookmarkEnd w:id="0"/>
            <w:r>
              <w:rPr>
                <w:sz w:val="24"/>
                <w:szCs w:val="24"/>
              </w:rPr>
              <w:t>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相关</w:t>
            </w:r>
            <w:r>
              <w:rPr>
                <w:sz w:val="24"/>
                <w:szCs w:val="24"/>
              </w:rPr>
              <w:t>税费等全部费用。</w:t>
            </w:r>
          </w:p>
        </w:tc>
      </w:tr>
      <w:tr w14:paraId="364B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Style w:val="7"/>
                <w:rFonts w:hint="default" w:eastAsiaTheme="minorEastAsia"/>
                <w:bCs/>
                <w:color w:val="000000"/>
                <w:sz w:val="24"/>
                <w:lang w:val="en-US" w:eastAsia="zh-CN"/>
              </w:rPr>
            </w:pPr>
            <w:r>
              <w:rPr>
                <w:sz w:val="24"/>
                <w:szCs w:val="24"/>
              </w:rPr>
              <w:t>质保期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F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整车质保期为三年或10万公里（以先到为准）。</w:t>
            </w:r>
          </w:p>
          <w:p w14:paraId="59F70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2. 质保期内，产品出现质量问题，免费维修或更换。</w:t>
            </w:r>
          </w:p>
          <w:p w14:paraId="0F199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/>
                <w:color w:val="000000"/>
                <w:sz w:val="24"/>
                <w:lang w:val="en-US" w:eastAsia="zh-CN"/>
              </w:rPr>
            </w:pPr>
            <w:r>
              <w:rPr>
                <w:sz w:val="24"/>
                <w:szCs w:val="24"/>
              </w:rPr>
              <w:t>3. 质保期满后，提供终身有偿维护服务，更换零配件价格低于市场价。</w:t>
            </w:r>
          </w:p>
        </w:tc>
      </w:tr>
      <w:tr w14:paraId="5EAB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5" w:hRule="atLeast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CF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Style w:val="7"/>
                <w:rFonts w:hint="default"/>
                <w:bCs/>
                <w:color w:val="000000"/>
                <w:sz w:val="24"/>
                <w:lang w:val="en-US" w:eastAsia="zh-CN"/>
              </w:rPr>
            </w:pPr>
            <w:r>
              <w:rPr>
                <w:sz w:val="24"/>
                <w:szCs w:val="24"/>
              </w:rPr>
              <w:t>违约责任</w:t>
            </w:r>
          </w:p>
        </w:tc>
        <w:tc>
          <w:tcPr>
            <w:tcW w:w="7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9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1. 逾期交付：每日按合同总额1</w:t>
            </w:r>
            <w:r>
              <w:rPr>
                <w:rFonts w:hint="eastAsia"/>
                <w:strike w:val="0"/>
                <w:dstrike w:val="0"/>
                <w:color w:val="auto"/>
                <w:sz w:val="24"/>
                <w:szCs w:val="24"/>
                <w:u w:val="none"/>
                <w:shd w:val="clear" w:fill="auto"/>
                <w:lang w:eastAsia="zh-CN"/>
              </w:rPr>
              <w:t>‰</w:t>
            </w:r>
            <w:r>
              <w:rPr>
                <w:sz w:val="24"/>
                <w:szCs w:val="24"/>
              </w:rPr>
              <w:t>支付违约金；逾期超15日，采购人可解除合同，供应商支付合同总额</w:t>
            </w:r>
            <w:r>
              <w:rPr>
                <w:rFonts w:hint="eastAsia"/>
                <w:strike w:val="0"/>
                <w:dstrike w:val="0"/>
                <w:color w:val="auto"/>
                <w:sz w:val="24"/>
                <w:szCs w:val="24"/>
                <w:u w:val="none"/>
                <w:shd w:val="clear" w:fill="auto"/>
                <w:lang w:eastAsia="zh-CN"/>
              </w:rPr>
              <w:t>5</w:t>
            </w:r>
            <w:r>
              <w:rPr>
                <w:sz w:val="24"/>
                <w:szCs w:val="24"/>
              </w:rPr>
              <w:t>%违约金。</w:t>
            </w:r>
          </w:p>
          <w:p w14:paraId="3D75D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2. 产品不符合要求：采购人有权拒收、退货、更换或降价；拒绝整改的，采购人可单方解约，供应商支付合同总额</w:t>
            </w:r>
            <w:r>
              <w:rPr>
                <w:rFonts w:hint="eastAsia"/>
                <w:strike w:val="0"/>
                <w:dstrike w:val="0"/>
                <w:color w:val="auto"/>
                <w:sz w:val="24"/>
                <w:szCs w:val="24"/>
                <w:u w:val="none"/>
                <w:shd w:val="clear" w:fill="auto"/>
                <w:lang w:eastAsia="zh-CN"/>
              </w:rPr>
              <w:t>5</w:t>
            </w:r>
            <w:r>
              <w:rPr>
                <w:sz w:val="24"/>
                <w:szCs w:val="24"/>
              </w:rPr>
              <w:t>%违约金。</w:t>
            </w:r>
          </w:p>
          <w:p w14:paraId="4199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</w:rPr>
              <w:t>3. 未履行保修义务：每次支付合同总额3‰违约金，采购人可委托第三方维修，费用由供应商承担。</w:t>
            </w:r>
          </w:p>
          <w:p w14:paraId="708EF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sz w:val="24"/>
                <w:szCs w:val="24"/>
              </w:rPr>
              <w:t>4. 违约方赔偿守约方全部经济损失。</w:t>
            </w:r>
          </w:p>
        </w:tc>
      </w:tr>
    </w:tbl>
    <w:p w14:paraId="299AA843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</w:pPr>
    </w:p>
    <w:p w14:paraId="4F7B7FE3">
      <w:pPr>
        <w:keepNext w:val="0"/>
        <w:keepLines w:val="0"/>
        <w:pageBreakBefore w:val="0"/>
        <w:wordWrap/>
        <w:overflowPunct/>
        <w:topLinePunct w:val="0"/>
        <w:bidi w:val="0"/>
        <w:spacing w:line="4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7072E"/>
    <w:rsid w:val="111B660E"/>
    <w:rsid w:val="19E25003"/>
    <w:rsid w:val="1B37072E"/>
    <w:rsid w:val="2ACA0BBA"/>
    <w:rsid w:val="40320AFB"/>
    <w:rsid w:val="4C765DFD"/>
    <w:rsid w:val="4D0E183A"/>
    <w:rsid w:val="4D4D4194"/>
    <w:rsid w:val="4DB17212"/>
    <w:rsid w:val="524B3E26"/>
    <w:rsid w:val="57123A6B"/>
    <w:rsid w:val="7AA1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918</Words>
  <Characters>1036</Characters>
  <Lines>0</Lines>
  <Paragraphs>0</Paragraphs>
  <TotalTime>5</TotalTime>
  <ScaleCrop>false</ScaleCrop>
  <LinksUpToDate>false</LinksUpToDate>
  <CharactersWithSpaces>1053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2026-05-26T07:53:00Z</dcterms:created>
  <dc:creator>文军</dc:creator>
  <cp:lastModifiedBy>tsunamileos</cp:lastModifiedBy>
  <cp:lastPrinted>2026-07-01T01:41:00Z</cp:lastPrinted>
  <dcterms:modified xsi:type="dcterms:W3CDTF">2026-07-01T06:52:13Z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03599D1CC3F54879ACD5D4F8480B058F_11</vt:lpwstr>
  </property>
  <property fmtid="{D5CDD505-2E9C-101B-9397-08002B2CF9AE}" pid="4" name="KSOTemplateDocerSaveRecord">
    <vt:lpwstr>eyJoZGlkIjoiMDFhZTUxZGM0MzUxYTIwMWJmMGZhNWI5YTQ1YjI5ZTYiLCJ1c2VySWQiOiI1MzAxMDI3NTcifQ==</vt:lpwstr>
  </property>
</Properties>
</file>