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58927">
      <w:pPr>
        <w:spacing w:line="520" w:lineRule="exact"/>
        <w:rPr>
          <w:rFonts w:hint="eastAsia" w:ascii="宋体" w:hAnsi="宋体" w:eastAsia="宋体" w:cs="宋体"/>
          <w:b/>
          <w:bCs/>
          <w:color w:val="auto"/>
          <w:kern w:val="0"/>
          <w:sz w:val="24"/>
          <w:highlight w:val="none"/>
          <w:shd w:val="clear" w:color="auto" w:fill="FFFFFF"/>
          <w:lang w:bidi="ar"/>
        </w:rPr>
      </w:pPr>
      <w:bookmarkStart w:id="1" w:name="_GoBack"/>
      <w:bookmarkEnd w:id="1"/>
      <w:r>
        <w:rPr>
          <w:rFonts w:hint="eastAsia" w:ascii="宋体" w:hAnsi="宋体" w:eastAsia="宋体" w:cs="宋体"/>
          <w:b/>
          <w:bCs/>
          <w:color w:val="auto"/>
          <w:kern w:val="0"/>
          <w:sz w:val="24"/>
          <w:highlight w:val="none"/>
          <w:shd w:val="clear" w:color="auto" w:fill="FFFFFF"/>
          <w:lang w:bidi="ar"/>
        </w:rPr>
        <w:t>附件1：功能参数</w:t>
      </w:r>
    </w:p>
    <w:p w14:paraId="25413E89">
      <w:pPr>
        <w:spacing w:line="520" w:lineRule="exact"/>
        <w:rPr>
          <w:rFonts w:hint="eastAsia" w:ascii="宋体" w:hAnsi="宋体" w:eastAsia="宋体" w:cs="宋体"/>
          <w:color w:val="auto"/>
          <w:kern w:val="0"/>
          <w:sz w:val="24"/>
          <w:highlight w:val="none"/>
          <w:shd w:val="clear" w:color="auto" w:fill="FFFFFF"/>
          <w:lang w:bidi="ar"/>
        </w:rPr>
      </w:pPr>
    </w:p>
    <w:tbl>
      <w:tblPr>
        <w:tblStyle w:val="12"/>
        <w:tblW w:w="512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7"/>
        <w:gridCol w:w="1235"/>
        <w:gridCol w:w="6095"/>
        <w:gridCol w:w="725"/>
      </w:tblGrid>
      <w:tr w14:paraId="30F07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0D28BD57">
            <w:pPr>
              <w:adjustRightInd w:val="0"/>
              <w:snapToGrid w:val="0"/>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w:t>
            </w:r>
            <w:r>
              <w:rPr>
                <w:rFonts w:hint="eastAsia" w:ascii="宋体" w:hAnsi="宋体" w:eastAsia="宋体" w:cs="宋体"/>
                <w:b/>
                <w:bCs/>
                <w:color w:val="auto"/>
                <w:kern w:val="0"/>
                <w:sz w:val="24"/>
                <w:highlight w:val="none"/>
                <w:lang w:eastAsia="zh-CN"/>
              </w:rPr>
              <w:t>校园一卡通</w:t>
            </w:r>
            <w:r>
              <w:rPr>
                <w:rFonts w:hint="eastAsia" w:ascii="宋体" w:hAnsi="宋体" w:eastAsia="宋体" w:cs="宋体"/>
                <w:b/>
                <w:bCs/>
                <w:color w:val="auto"/>
                <w:kern w:val="0"/>
                <w:sz w:val="24"/>
                <w:highlight w:val="none"/>
              </w:rPr>
              <w:t>系统功能参数</w:t>
            </w:r>
          </w:p>
        </w:tc>
      </w:tr>
      <w:tr w14:paraId="59F79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388" w:type="pct"/>
            <w:tcBorders>
              <w:top w:val="single" w:color="auto" w:sz="4" w:space="0"/>
              <w:left w:val="single" w:color="auto" w:sz="4" w:space="0"/>
              <w:bottom w:val="single" w:color="auto" w:sz="4" w:space="0"/>
              <w:right w:val="single" w:color="auto" w:sz="4" w:space="0"/>
            </w:tcBorders>
            <w:vAlign w:val="center"/>
          </w:tcPr>
          <w:p w14:paraId="2A405F91">
            <w:pPr>
              <w:adjustRightInd w:val="0"/>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07" w:type="pct"/>
            <w:tcBorders>
              <w:top w:val="single" w:color="auto" w:sz="4" w:space="0"/>
              <w:left w:val="single" w:color="auto" w:sz="4" w:space="0"/>
              <w:bottom w:val="single" w:color="auto" w:sz="4" w:space="0"/>
              <w:right w:val="single" w:color="auto" w:sz="4" w:space="0"/>
            </w:tcBorders>
            <w:vAlign w:val="center"/>
          </w:tcPr>
          <w:p w14:paraId="632F0846">
            <w:pPr>
              <w:adjustRightInd w:val="0"/>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3490" w:type="pct"/>
            <w:tcBorders>
              <w:top w:val="single" w:color="auto" w:sz="4" w:space="0"/>
              <w:left w:val="single" w:color="auto" w:sz="4" w:space="0"/>
              <w:bottom w:val="single" w:color="auto" w:sz="4" w:space="0"/>
              <w:right w:val="single" w:color="auto" w:sz="4" w:space="0"/>
            </w:tcBorders>
            <w:vAlign w:val="center"/>
          </w:tcPr>
          <w:p w14:paraId="66C1724D">
            <w:pPr>
              <w:adjustRightInd w:val="0"/>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技术需求</w:t>
            </w:r>
          </w:p>
        </w:tc>
        <w:tc>
          <w:tcPr>
            <w:tcW w:w="413" w:type="pct"/>
            <w:tcBorders>
              <w:top w:val="single" w:color="auto" w:sz="4" w:space="0"/>
              <w:left w:val="single" w:color="auto" w:sz="4" w:space="0"/>
              <w:bottom w:val="single" w:color="auto" w:sz="4" w:space="0"/>
              <w:right w:val="single" w:color="auto" w:sz="4" w:space="0"/>
            </w:tcBorders>
            <w:vAlign w:val="center"/>
          </w:tcPr>
          <w:p w14:paraId="084DC01E">
            <w:pPr>
              <w:widowControl/>
              <w:adjustRightInd w:val="0"/>
              <w:snapToGrid w:val="0"/>
              <w:spacing w:line="3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数量单位</w:t>
            </w:r>
          </w:p>
        </w:tc>
      </w:tr>
      <w:tr w14:paraId="01923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77" w:type="dxa"/>
            <w:tcBorders>
              <w:top w:val="single" w:color="auto" w:sz="4" w:space="0"/>
              <w:left w:val="single" w:color="auto" w:sz="4" w:space="0"/>
              <w:bottom w:val="single" w:color="auto" w:sz="4" w:space="0"/>
              <w:right w:val="single" w:color="auto" w:sz="4" w:space="0"/>
            </w:tcBorders>
            <w:vAlign w:val="center"/>
          </w:tcPr>
          <w:p w14:paraId="560E9491">
            <w:pPr>
              <w:widowControl/>
              <w:jc w:val="center"/>
              <w:rPr>
                <w:rFonts w:hint="eastAsia" w:asciiTheme="minorEastAsia" w:hAnsiTheme="minorEastAsia" w:cstheme="minorEastAsia"/>
                <w:color w:val="auto"/>
                <w:sz w:val="24"/>
                <w:highlight w:val="none"/>
              </w:rPr>
            </w:pPr>
            <w:bookmarkStart w:id="0" w:name="OLE_LINK1" w:colFirst="1" w:colLast="1"/>
            <w:r>
              <w:rPr>
                <w:rFonts w:hint="eastAsia" w:asciiTheme="minorEastAsia" w:hAnsiTheme="minorEastAsia" w:cstheme="minorEastAsia"/>
                <w:color w:val="auto"/>
                <w:sz w:val="24"/>
                <w:highlight w:val="none"/>
              </w:rPr>
              <w:t>1</w:t>
            </w:r>
          </w:p>
        </w:tc>
        <w:tc>
          <w:tcPr>
            <w:tcW w:w="1235" w:type="dxa"/>
            <w:tcBorders>
              <w:top w:val="single" w:color="auto" w:sz="4" w:space="0"/>
              <w:left w:val="single" w:color="auto" w:sz="4" w:space="0"/>
              <w:bottom w:val="single" w:color="auto" w:sz="4" w:space="0"/>
              <w:right w:val="single" w:color="auto" w:sz="4" w:space="0"/>
            </w:tcBorders>
            <w:vAlign w:val="center"/>
          </w:tcPr>
          <w:p w14:paraId="196F24DD">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统一支付平台</w:t>
            </w:r>
          </w:p>
        </w:tc>
        <w:tc>
          <w:tcPr>
            <w:tcW w:w="6095" w:type="dxa"/>
            <w:tcBorders>
              <w:top w:val="single" w:color="auto" w:sz="4" w:space="0"/>
              <w:left w:val="single" w:color="auto" w:sz="4" w:space="0"/>
              <w:bottom w:val="single" w:color="auto" w:sz="4" w:space="0"/>
              <w:right w:val="single" w:color="auto" w:sz="4" w:space="0"/>
            </w:tcBorders>
            <w:vAlign w:val="center"/>
          </w:tcPr>
          <w:p w14:paraId="1E0054BB">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1、基础软件,包含支付平台管理端(订单流水、通道配置、对接配置等支付基础功能)以及</w:t>
            </w:r>
            <w:r>
              <w:rPr>
                <w:rFonts w:hint="eastAsia" w:asciiTheme="minorEastAsia" w:hAnsiTheme="minorEastAsia" w:cstheme="minorEastAsia"/>
                <w:strike w:val="0"/>
                <w:dstrike w:val="0"/>
                <w:color w:val="auto"/>
                <w:sz w:val="24"/>
                <w:highlight w:val="none"/>
                <w:lang w:eastAsia="zh-CN"/>
              </w:rPr>
              <w:t>收费平台</w:t>
            </w:r>
            <w:r>
              <w:rPr>
                <w:rFonts w:hint="eastAsia" w:asciiTheme="minorEastAsia" w:hAnsiTheme="minorEastAsia" w:cstheme="minorEastAsia"/>
                <w:color w:val="auto"/>
                <w:sz w:val="24"/>
                <w:highlight w:val="none"/>
              </w:rPr>
              <w:t>；</w:t>
            </w:r>
          </w:p>
          <w:p w14:paraId="36B96DE4">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基于B/S系统架构实现，用户可通过网页浏览器方式进行各项业务操作，本系统提供全面、完善的数据维护接口，包含支付平台Web端，用户使用H5端，为用户提供统一清晰的第三方系统管理功能，方便用户多处使用，全新的UI界面提供更优质的用户体验；</w:t>
            </w:r>
          </w:p>
          <w:p w14:paraId="791868F4">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w:t>
            </w:r>
            <w:r>
              <w:rPr>
                <w:rFonts w:hint="eastAsia" w:ascii="宋体" w:hAnsi="宋体" w:eastAsia="宋体" w:cs="宋体"/>
                <w:color w:val="auto"/>
                <w:kern w:val="0"/>
                <w:szCs w:val="21"/>
                <w:highlight w:val="none"/>
                <w:lang w:bidi="ar"/>
              </w:rPr>
              <w:t>★</w:t>
            </w:r>
            <w:r>
              <w:rPr>
                <w:rFonts w:hint="eastAsia" w:asciiTheme="minorEastAsia" w:hAnsiTheme="minorEastAsia" w:cstheme="minorEastAsia"/>
                <w:color w:val="auto"/>
                <w:sz w:val="24"/>
                <w:highlight w:val="none"/>
              </w:rPr>
              <w:t>密钥管理，提供根（主或母）密钥生成功能，支持用户自定义密钥内容或随机生成密钥。投标人或投标产品制造商需提供CMA或CNAS认证的检测机构出具的具有上述功能的检测报告并加盖厂家公章以佐证技术功能；</w:t>
            </w:r>
          </w:p>
          <w:p w14:paraId="53889B12">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w:t>
            </w:r>
            <w:r>
              <w:rPr>
                <w:rFonts w:hint="eastAsia" w:ascii="宋体" w:hAnsi="宋体" w:eastAsia="宋体" w:cs="宋体"/>
                <w:color w:val="auto"/>
                <w:kern w:val="0"/>
                <w:szCs w:val="21"/>
                <w:highlight w:val="none"/>
                <w:lang w:bidi="ar"/>
              </w:rPr>
              <w:t>★</w:t>
            </w:r>
            <w:r>
              <w:rPr>
                <w:rFonts w:hint="eastAsia" w:asciiTheme="minorEastAsia" w:hAnsiTheme="minorEastAsia" w:cstheme="minorEastAsia"/>
                <w:color w:val="auto"/>
                <w:sz w:val="24"/>
                <w:highlight w:val="none"/>
              </w:rPr>
              <w:t>子密钥管理。支持卡片个人密钥、交易密钥、身份认证密钥、传输密钥、签名密钥、存储密钥、二维码密钥、NFC校园卡密钥、人脸加密密钥、掌静脉传输密钥、第三方接入密钥、子系统密钥等密钥的生成、下发、更新、销毁功能操作。投标人或投标产品制造商需提供通过了CMA或CNAS认证的检测机构出具的具有上述功能的检测报告并加盖厂家公章以佐证技术功能；</w:t>
            </w:r>
          </w:p>
          <w:p w14:paraId="3BF6E2BA">
            <w:pPr>
              <w:widowControl/>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5、管理端提供支付通道管理、表单管理、对账管理、商户管理、支付方式管理以及开发者管理；覆盖全部在线支付场景：面向学费、住宿费、团费等收费场景，使用商户与银行结算模式；面向一卡通充值、购电、网费缴纳等消费场景，使用商户与系统结算模式</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rPr>
              <w:t>支持学校账户自动分账</w:t>
            </w:r>
            <w:r>
              <w:rPr>
                <w:rFonts w:hint="eastAsia" w:asciiTheme="minorEastAsia" w:hAnsiTheme="minorEastAsia" w:cstheme="minorEastAsia"/>
                <w:color w:val="auto"/>
                <w:sz w:val="24"/>
                <w:highlight w:val="none"/>
                <w:lang w:eastAsia="zh-CN"/>
              </w:rPr>
              <w:t>；支持第三方渠道消费对接，对消费记录进行留存；支持按照T+N的形式对接财务系统；实现学校统一报表要求；对学校的补助发放进行审核，规范补助发放流程；</w:t>
            </w:r>
          </w:p>
          <w:p w14:paraId="20DC9551">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6、连通全部支付渠道：设计统一支付接口，为支付场景提供接口服务，用户在支付时进行选择即可，无需在多个支付渠道之间进行切换。需接入银行聚合支付及新型无卡支付等银行支付方式；</w:t>
            </w:r>
          </w:p>
          <w:p w14:paraId="2A5AFAAA">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7、支持终端号和终端设备绑定、终端信息和商户信息管理、终端账务管理、终端支付方式管理；</w:t>
            </w:r>
          </w:p>
          <w:p w14:paraId="138C300F">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8、</w:t>
            </w:r>
            <w:r>
              <w:rPr>
                <w:rFonts w:hint="eastAsia" w:ascii="宋体" w:hAnsi="宋体" w:eastAsia="宋体" w:cs="宋体"/>
                <w:color w:val="auto"/>
                <w:kern w:val="0"/>
                <w:szCs w:val="21"/>
                <w:highlight w:val="none"/>
                <w:lang w:bidi="ar"/>
              </w:rPr>
              <w:t>★</w:t>
            </w:r>
            <w:r>
              <w:rPr>
                <w:rFonts w:hint="eastAsia" w:asciiTheme="minorEastAsia" w:hAnsiTheme="minorEastAsia" w:cstheme="minorEastAsia"/>
                <w:color w:val="auto"/>
                <w:sz w:val="24"/>
                <w:highlight w:val="none"/>
              </w:rPr>
              <w:t>能够下载商户的静态收款码，支持下载商户静态收款码，静态码支持设置预收金额或不设置金额，静态码支持支付宝、微信等扫一扫方式收款，且交易流水能够正常回传至校园卡系统，交易过程中支持设置优惠折扣；交易流水支持实名，收款码支持集成至POS机。投标人或投标产品制造商需提供通过了CMA或CNAS认证的检测机构出具的具有上述功能的检测报告并加盖厂家公章以佐证技术功能；</w:t>
            </w:r>
          </w:p>
          <w:p w14:paraId="43FC5E2F">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9、</w:t>
            </w:r>
            <w:r>
              <w:rPr>
                <w:rFonts w:hint="eastAsia" w:ascii="宋体" w:hAnsi="宋体" w:eastAsia="宋体" w:cs="宋体"/>
                <w:color w:val="auto"/>
                <w:kern w:val="0"/>
                <w:szCs w:val="21"/>
                <w:highlight w:val="none"/>
                <w:lang w:bidi="ar"/>
              </w:rPr>
              <w:t>★</w:t>
            </w:r>
            <w:r>
              <w:rPr>
                <w:rFonts w:hint="eastAsia" w:asciiTheme="minorEastAsia" w:hAnsiTheme="minorEastAsia" w:cstheme="minorEastAsia"/>
                <w:color w:val="auto"/>
                <w:sz w:val="24"/>
                <w:highlight w:val="none"/>
              </w:rPr>
              <w:t>统一支付入口：面向服务的统一支付平台连通全部支付渠道，并覆盖全部支付场景，使用户无需在微信或支付宝等多个平台重复进行身份认证，从而减少数据泄露风险。支持支付宝、微信、云闪付、掌银、数币等原生付款码支付交易。支持支付宝、微信支付进行实名消费</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rPr>
              <w:t>支持微信、支付宝离线码交易，且交易流水可显示用户校园身份信息。投标人或投标产品制造商需提供通过了CMA或CNAS认证的检测机构出具的具有上述功能的检测报告并加盖厂家公章以佐证技术功能；</w:t>
            </w:r>
          </w:p>
          <w:p w14:paraId="39BF8A4A">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10、</w:t>
            </w:r>
            <w:r>
              <w:rPr>
                <w:rFonts w:hint="eastAsia" w:ascii="宋体" w:hAnsi="宋体" w:eastAsia="宋体" w:cs="宋体"/>
                <w:color w:val="auto"/>
                <w:kern w:val="0"/>
                <w:szCs w:val="21"/>
                <w:highlight w:val="none"/>
                <w:lang w:bidi="ar"/>
              </w:rPr>
              <w:t>★</w:t>
            </w:r>
            <w:r>
              <w:rPr>
                <w:rFonts w:hint="eastAsia" w:asciiTheme="minorEastAsia" w:hAnsiTheme="minorEastAsia" w:cstheme="minorEastAsia"/>
                <w:color w:val="auto"/>
                <w:sz w:val="24"/>
                <w:highlight w:val="none"/>
              </w:rPr>
              <w:t>系统接入管理，提供系统接入管理功能，包括查询、新建、编辑等功能；支持选择是否信任接入信息、是否启用校园卡账户支付、是否启用线上或线下匿名支付、选择启用或不启用各种支付渠道等；支持自定义选择接口，包括WEB接入API、扫码API、APP权限API、支付API、支付参数API、支付报表API、权限组（能力开放平台）API、权限组（多介质平台）API、代扣免密API、退款API等。投标人或投标产品制造商需提供通过了CMA或CNAS认证的检测机构出具的具有上述功能的检测报告并加盖厂家公章以佐证技术功能</w:t>
            </w:r>
            <w:r>
              <w:rPr>
                <w:rFonts w:hint="eastAsia" w:asciiTheme="minorEastAsia" w:hAnsiTheme="minorEastAsia" w:cstheme="minorEastAsia"/>
                <w:color w:val="auto"/>
                <w:sz w:val="24"/>
                <w:highlight w:val="none"/>
                <w:lang w:eastAsia="zh-CN"/>
              </w:rPr>
              <w:t>；</w:t>
            </w:r>
          </w:p>
          <w:p w14:paraId="0C160BE7">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w:t>
            </w:r>
            <w:r>
              <w:rPr>
                <w:rFonts w:hint="eastAsia" w:ascii="宋体" w:hAnsi="宋体" w:eastAsia="宋体" w:cs="宋体"/>
                <w:color w:val="auto"/>
                <w:kern w:val="0"/>
                <w:szCs w:val="21"/>
                <w:highlight w:val="none"/>
                <w:lang w:bidi="ar"/>
              </w:rPr>
              <w:t>★</w:t>
            </w:r>
            <w:r>
              <w:rPr>
                <w:rFonts w:hint="eastAsia" w:asciiTheme="minorEastAsia" w:hAnsiTheme="minorEastAsia" w:cstheme="minorEastAsia"/>
                <w:color w:val="auto"/>
                <w:sz w:val="24"/>
                <w:highlight w:val="none"/>
              </w:rPr>
              <w:t>脱机交易：面向食堂交易时，即使设备断网脱机也可以进行付款食堂消费。提供脱机码参数设置功能，可对单个脱机码的有效时间、付款码禁用时间、最大脱机天数、余额活跃天数、有效风控天数、账户有效期每日衰减额、pos脱机时卡的基准信用额度、脱机码单笔消费限额、脱机码单终端单账户消费次数、二维码缓存数量、脱机状态默认扣款渠道、脱机码总开关启用、挂失后是否允许使用脱机码启用、认证码脱机模式启用等参数进行设置。投标人或投标产品制造商需提供通过了CMA或CNAS认证的检测机构出具的具有上述功能的检测报告并加盖厂家公章以佐证技术功能</w:t>
            </w:r>
            <w:r>
              <w:rPr>
                <w:rFonts w:hint="eastAsia" w:asciiTheme="minorEastAsia" w:hAnsiTheme="minorEastAsia" w:cstheme="minorEastAsia"/>
                <w:color w:val="auto"/>
                <w:sz w:val="24"/>
                <w:highlight w:val="none"/>
                <w:lang w:eastAsia="zh-CN"/>
              </w:rPr>
              <w:t>；</w:t>
            </w:r>
          </w:p>
          <w:p w14:paraId="0A9DBD2D">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12、▲符合采购人现有一卡通系统POS接入协议规范，在使用习惯、使用功能、通讯能力、卡片兼容、清结算体系等方面做到全兼容。</w:t>
            </w:r>
          </w:p>
        </w:tc>
        <w:tc>
          <w:tcPr>
            <w:tcW w:w="725" w:type="dxa"/>
            <w:tcBorders>
              <w:top w:val="single" w:color="auto" w:sz="4" w:space="0"/>
              <w:left w:val="single" w:color="auto" w:sz="4" w:space="0"/>
              <w:bottom w:val="single" w:color="auto" w:sz="4" w:space="0"/>
              <w:right w:val="single" w:color="auto" w:sz="4" w:space="0"/>
            </w:tcBorders>
            <w:vAlign w:val="center"/>
          </w:tcPr>
          <w:p w14:paraId="3A9DF33F">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1套</w:t>
            </w:r>
          </w:p>
        </w:tc>
      </w:tr>
      <w:tr w14:paraId="29815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77" w:type="dxa"/>
            <w:tcBorders>
              <w:top w:val="single" w:color="auto" w:sz="4" w:space="0"/>
              <w:left w:val="single" w:color="auto" w:sz="4" w:space="0"/>
              <w:bottom w:val="single" w:color="auto" w:sz="4" w:space="0"/>
              <w:right w:val="single" w:color="auto" w:sz="4" w:space="0"/>
            </w:tcBorders>
            <w:vAlign w:val="center"/>
          </w:tcPr>
          <w:p w14:paraId="20FB4653">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p>
        </w:tc>
        <w:tc>
          <w:tcPr>
            <w:tcW w:w="1235" w:type="dxa"/>
            <w:tcBorders>
              <w:top w:val="single" w:color="auto" w:sz="4" w:space="0"/>
              <w:left w:val="single" w:color="auto" w:sz="4" w:space="0"/>
              <w:bottom w:val="single" w:color="auto" w:sz="4" w:space="0"/>
              <w:right w:val="single" w:color="auto" w:sz="4" w:space="0"/>
            </w:tcBorders>
            <w:vAlign w:val="center"/>
          </w:tcPr>
          <w:p w14:paraId="3619282A">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服务大厅基础服务模块</w:t>
            </w:r>
          </w:p>
        </w:tc>
        <w:tc>
          <w:tcPr>
            <w:tcW w:w="6095" w:type="dxa"/>
            <w:tcBorders>
              <w:top w:val="single" w:color="auto" w:sz="4" w:space="0"/>
              <w:left w:val="single" w:color="auto" w:sz="4" w:space="0"/>
              <w:bottom w:val="single" w:color="auto" w:sz="4" w:space="0"/>
              <w:right w:val="single" w:color="auto" w:sz="4" w:space="0"/>
            </w:tcBorders>
            <w:vAlign w:val="center"/>
          </w:tcPr>
          <w:p w14:paraId="6671FFB4">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一、前端展示</w:t>
            </w:r>
          </w:p>
          <w:p w14:paraId="2638BA1D">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服务大厅系统采用完全本地化的部署方式，与</w:t>
            </w:r>
            <w:r>
              <w:rPr>
                <w:rFonts w:hint="eastAsia" w:asciiTheme="minorEastAsia" w:hAnsiTheme="minorEastAsia" w:cstheme="minorEastAsia"/>
                <w:color w:val="auto"/>
                <w:sz w:val="24"/>
                <w:highlight w:val="none"/>
                <w:lang w:eastAsia="zh-CN"/>
              </w:rPr>
              <w:t>校</w:t>
            </w:r>
            <w:r>
              <w:rPr>
                <w:rFonts w:hint="eastAsia" w:asciiTheme="minorEastAsia" w:hAnsiTheme="minorEastAsia" w:cstheme="minorEastAsia"/>
                <w:color w:val="auto"/>
                <w:sz w:val="24"/>
                <w:highlight w:val="none"/>
              </w:rPr>
              <w:t>区现有一卡通平台联网运行，实时与平台实现账户信息同步及交易回传。</w:t>
            </w:r>
          </w:p>
          <w:p w14:paraId="7E4459D9">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服务大厅是Pc端的一卡通信息服务门户，用户在移动端的展示的功能应用、个人信息、主题风格等内容，需与移动端保持一致，确保业务服务的连续性。</w:t>
            </w:r>
          </w:p>
          <w:p w14:paraId="5C7220B5">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二、后台管理端功能</w:t>
            </w:r>
          </w:p>
          <w:p w14:paraId="7652FCE0">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1、一卡通服务PC入口，支持账户信息查询、余额查询、挂失解挂、流水查询、圈存转账、缴电费、缴网费等；</w:t>
            </w:r>
          </w:p>
          <w:p w14:paraId="520E6800">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2、支持添加第三方应用集成至一卡通服务大厅；</w:t>
            </w:r>
          </w:p>
          <w:p w14:paraId="5CB68613">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3、可以设置角色，并对该角色赋予对应的权限，当添加新管理员时，可以通过授予该角色，来给管理员分配该角色权限；</w:t>
            </w:r>
          </w:p>
          <w:p w14:paraId="11E437E2">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4、信息管理：含信息发布、信息审核、信息处理，必须支持英文、中文内容介绍</w:t>
            </w:r>
            <w:r>
              <w:rPr>
                <w:rFonts w:hint="eastAsia" w:asciiTheme="minorEastAsia" w:hAnsiTheme="minorEastAsia" w:cstheme="minorEastAsia"/>
                <w:color w:val="auto"/>
                <w:sz w:val="24"/>
                <w:highlight w:val="none"/>
                <w:lang w:eastAsia="zh-CN"/>
              </w:rPr>
              <w:t>；</w:t>
            </w:r>
          </w:p>
          <w:p w14:paraId="05809B1D">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5、权限管理：对人员进行权限管理，支持分配资源和权限管理，分配时可针对部门、身份进行统一授权，也支持个人进行授权</w:t>
            </w:r>
            <w:r>
              <w:rPr>
                <w:rFonts w:hint="eastAsia" w:asciiTheme="minorEastAsia" w:hAnsiTheme="minorEastAsia" w:cstheme="minorEastAsia"/>
                <w:color w:val="auto"/>
                <w:sz w:val="24"/>
                <w:highlight w:val="none"/>
                <w:lang w:eastAsia="zh-CN"/>
              </w:rPr>
              <w:t>；</w:t>
            </w:r>
          </w:p>
          <w:p w14:paraId="62519191">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6.授信地址管理：</w:t>
            </w:r>
            <w:r>
              <w:rPr>
                <w:rFonts w:hint="eastAsia" w:asciiTheme="minorEastAsia" w:hAnsiTheme="minorEastAsia" w:cstheme="minorEastAsia"/>
                <w:color w:val="auto"/>
                <w:sz w:val="24"/>
                <w:highlight w:val="none"/>
                <w:lang w:val="en-US" w:eastAsia="zh-CN"/>
              </w:rPr>
              <w:t>支持第三方系统嵌入，实现移动端统一门户。</w:t>
            </w:r>
            <w:r>
              <w:rPr>
                <w:rFonts w:hint="eastAsia" w:asciiTheme="minorEastAsia" w:hAnsiTheme="minorEastAsia" w:cstheme="minorEastAsia"/>
                <w:color w:val="auto"/>
                <w:sz w:val="24"/>
                <w:highlight w:val="none"/>
              </w:rPr>
              <w:t>针对授信地址信息进行统一管理，可以添加第三方可信接入</w:t>
            </w:r>
            <w:r>
              <w:rPr>
                <w:rFonts w:hint="eastAsia" w:asciiTheme="minorEastAsia" w:hAnsiTheme="minorEastAsia" w:cstheme="minorEastAsia"/>
                <w:color w:val="auto"/>
                <w:sz w:val="24"/>
                <w:highlight w:val="none"/>
                <w:lang w:eastAsia="zh-CN"/>
              </w:rPr>
              <w:t>；</w:t>
            </w:r>
          </w:p>
          <w:p w14:paraId="1F797A1A">
            <w:pPr>
              <w:widowControl/>
              <w:jc w:val="left"/>
              <w:rPr>
                <w:rFonts w:hint="eastAsia" w:asciiTheme="minorEastAsia" w:hAnsiTheme="minorEastAsia" w:cstheme="minorEastAsia"/>
                <w:color w:val="auto"/>
                <w:sz w:val="24"/>
                <w:highlight w:val="none"/>
              </w:rPr>
            </w:pPr>
            <w:r>
              <w:rPr>
                <w:rFonts w:hint="eastAsia" w:ascii="宋体" w:hAnsi="宋体" w:eastAsia="宋体"/>
                <w:color w:val="auto"/>
                <w:sz w:val="24"/>
                <w:highlight w:val="none"/>
              </w:rPr>
              <w:t>★</w:t>
            </w:r>
            <w:r>
              <w:rPr>
                <w:rFonts w:hint="eastAsia" w:asciiTheme="minorEastAsia" w:hAnsiTheme="minorEastAsia" w:cstheme="minorEastAsia"/>
                <w:color w:val="auto"/>
                <w:sz w:val="24"/>
                <w:highlight w:val="none"/>
              </w:rPr>
              <w:t>7、移动端管理，可以对其他应用添加认证，可以对已认证的应用开放不同的接口，可以对已认证的应用开放给不同身份或人员，需提供第三方机构出具的测试报告以佐证技术功能（测试报告中必须明确具有此项测试内容）</w:t>
            </w:r>
            <w:r>
              <w:rPr>
                <w:rFonts w:hint="eastAsia" w:asciiTheme="minorEastAsia" w:hAnsiTheme="minorEastAsia" w:cstheme="minorEastAsia"/>
                <w:color w:val="auto"/>
                <w:sz w:val="24"/>
                <w:highlight w:val="none"/>
                <w:lang w:eastAsia="zh-CN"/>
              </w:rPr>
              <w:t>；</w:t>
            </w:r>
          </w:p>
          <w:p w14:paraId="48C6A183">
            <w:pPr>
              <w:widowControl/>
              <w:jc w:val="left"/>
              <w:rPr>
                <w:rFonts w:hint="eastAsia" w:asciiTheme="minorEastAsia" w:hAnsiTheme="minorEastAsia" w:cstheme="minorEastAsia"/>
                <w:color w:val="auto"/>
                <w:sz w:val="24"/>
                <w:highlight w:val="none"/>
              </w:rPr>
            </w:pPr>
            <w:r>
              <w:rPr>
                <w:rFonts w:hint="eastAsia" w:ascii="宋体" w:hAnsi="宋体" w:eastAsia="宋体"/>
                <w:color w:val="auto"/>
                <w:sz w:val="24"/>
                <w:highlight w:val="none"/>
              </w:rPr>
              <w:t>★</w:t>
            </w:r>
            <w:r>
              <w:rPr>
                <w:rFonts w:hint="eastAsia" w:asciiTheme="minorEastAsia" w:hAnsiTheme="minorEastAsia" w:cstheme="minorEastAsia"/>
                <w:color w:val="auto"/>
                <w:sz w:val="24"/>
                <w:highlight w:val="none"/>
              </w:rPr>
              <w:t>8、卡券管理，支持编辑删除卡券，查看未使用的卡券，可以商户或部门为单位统计卡券的使用情况，需提供第三方机构出具的测试报告以佐证技术功能（测试报告中必须明确具有此项测试内容）</w:t>
            </w:r>
            <w:r>
              <w:rPr>
                <w:rFonts w:hint="eastAsia" w:asciiTheme="minorEastAsia" w:hAnsiTheme="minorEastAsia" w:cstheme="minorEastAsia"/>
                <w:color w:val="auto"/>
                <w:sz w:val="24"/>
                <w:highlight w:val="none"/>
                <w:lang w:eastAsia="zh-CN"/>
              </w:rPr>
              <w:t>；</w:t>
            </w:r>
          </w:p>
          <w:p w14:paraId="5FD79025">
            <w:pPr>
              <w:widowControl/>
              <w:jc w:val="left"/>
              <w:rPr>
                <w:rFonts w:hint="eastAsia" w:asciiTheme="minorEastAsia" w:hAnsiTheme="minorEastAsia" w:cstheme="minorEastAsia"/>
                <w:color w:val="auto"/>
                <w:sz w:val="24"/>
                <w:highlight w:val="none"/>
              </w:rPr>
            </w:pPr>
            <w:r>
              <w:rPr>
                <w:rFonts w:hint="eastAsia" w:ascii="宋体" w:hAnsi="宋体" w:eastAsia="宋体"/>
                <w:color w:val="auto"/>
                <w:sz w:val="24"/>
                <w:highlight w:val="none"/>
              </w:rPr>
              <w:t>★</w:t>
            </w:r>
            <w:r>
              <w:rPr>
                <w:rFonts w:hint="eastAsia" w:asciiTheme="minorEastAsia" w:hAnsiTheme="minorEastAsia" w:cstheme="minorEastAsia"/>
                <w:color w:val="auto"/>
                <w:sz w:val="24"/>
                <w:highlight w:val="none"/>
              </w:rPr>
              <w:t>9、所提供服务大厅为中低风险系统，需提供服务大厅源代码安全审计报告，报告需明确定义系统风险级别。</w:t>
            </w:r>
          </w:p>
          <w:p w14:paraId="0072F041">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10、将整合后的校内服务资源以应用服务的形式展现给终端用户，尽可能满足用户所有的在校服务需求；</w:t>
            </w:r>
          </w:p>
          <w:p w14:paraId="0DA79E84">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11、平台需实现通知发布功能，通知发布包括信息发布和同步通知两大功能。信息发布是将要发布的信息发布给指定人群。同步通知是将信息通过多种渠道同步发送，提高信息的送达率</w:t>
            </w:r>
            <w:r>
              <w:rPr>
                <w:rFonts w:hint="eastAsia" w:asciiTheme="minorEastAsia" w:hAnsiTheme="minorEastAsia" w:cstheme="minorEastAsia"/>
                <w:color w:val="auto"/>
                <w:sz w:val="24"/>
                <w:highlight w:val="none"/>
                <w:lang w:eastAsia="zh-CN"/>
              </w:rPr>
              <w:t>；</w:t>
            </w:r>
          </w:p>
          <w:p w14:paraId="1F8463A0">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12、实现持卡人个人信息查询、挂失查询、消费明细查询、账户信息查询</w:t>
            </w:r>
            <w:r>
              <w:rPr>
                <w:rFonts w:hint="eastAsia" w:asciiTheme="minorEastAsia" w:hAnsiTheme="minorEastAsia" w:cstheme="minorEastAsia"/>
                <w:color w:val="auto"/>
                <w:sz w:val="24"/>
                <w:highlight w:val="none"/>
                <w:lang w:eastAsia="zh-CN"/>
              </w:rPr>
              <w:t>；</w:t>
            </w:r>
          </w:p>
          <w:p w14:paraId="767A80FA">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13、实现一卡通业务集成，将面向持卡人的业务集成到该服务平台，含网上圈存等。</w:t>
            </w:r>
          </w:p>
        </w:tc>
        <w:tc>
          <w:tcPr>
            <w:tcW w:w="725" w:type="dxa"/>
            <w:tcBorders>
              <w:top w:val="single" w:color="auto" w:sz="4" w:space="0"/>
              <w:left w:val="single" w:color="auto" w:sz="4" w:space="0"/>
              <w:bottom w:val="single" w:color="auto" w:sz="4" w:space="0"/>
              <w:right w:val="single" w:color="auto" w:sz="4" w:space="0"/>
            </w:tcBorders>
            <w:vAlign w:val="center"/>
          </w:tcPr>
          <w:p w14:paraId="2BDE7FCF">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1套</w:t>
            </w:r>
          </w:p>
        </w:tc>
      </w:tr>
      <w:tr w14:paraId="32D46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77" w:type="dxa"/>
            <w:tcBorders>
              <w:top w:val="single" w:color="auto" w:sz="4" w:space="0"/>
              <w:left w:val="single" w:color="auto" w:sz="4" w:space="0"/>
              <w:bottom w:val="single" w:color="auto" w:sz="4" w:space="0"/>
              <w:right w:val="single" w:color="auto" w:sz="4" w:space="0"/>
            </w:tcBorders>
            <w:vAlign w:val="center"/>
          </w:tcPr>
          <w:p w14:paraId="1794D8C5">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w:t>
            </w:r>
          </w:p>
        </w:tc>
        <w:tc>
          <w:tcPr>
            <w:tcW w:w="1235" w:type="dxa"/>
            <w:tcBorders>
              <w:top w:val="single" w:color="auto" w:sz="4" w:space="0"/>
              <w:left w:val="single" w:color="auto" w:sz="4" w:space="0"/>
              <w:bottom w:val="single" w:color="auto" w:sz="4" w:space="0"/>
              <w:right w:val="single" w:color="auto" w:sz="4" w:space="0"/>
            </w:tcBorders>
            <w:vAlign w:val="center"/>
          </w:tcPr>
          <w:p w14:paraId="0EE3D287">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卡券服务软件模块</w:t>
            </w:r>
          </w:p>
        </w:tc>
        <w:tc>
          <w:tcPr>
            <w:tcW w:w="6095" w:type="dxa"/>
            <w:tcBorders>
              <w:top w:val="single" w:color="auto" w:sz="4" w:space="0"/>
              <w:left w:val="single" w:color="auto" w:sz="4" w:space="0"/>
              <w:bottom w:val="single" w:color="auto" w:sz="4" w:space="0"/>
              <w:right w:val="single" w:color="auto" w:sz="4" w:space="0"/>
            </w:tcBorders>
            <w:vAlign w:val="center"/>
          </w:tcPr>
          <w:p w14:paraId="51214523">
            <w:pPr>
              <w:widowControl/>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包含次卡消费券软件模块和储值消费券软件模块，可为来访人员发放消费券，无需开设临时卡。通过短信的形式下发至使用人的手机中，使用者打开短信即可进行选择消费券消费。具体参数如下：</w:t>
            </w:r>
          </w:p>
          <w:p w14:paraId="7E2A1D91">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1、参数管理:登录显示、系统图标、信息发送、是否开启发放审等参数设置</w:t>
            </w:r>
            <w:r>
              <w:rPr>
                <w:rFonts w:hint="eastAsia" w:asciiTheme="minorEastAsia" w:hAnsiTheme="minorEastAsia" w:cstheme="minorEastAsia"/>
                <w:color w:val="auto"/>
                <w:sz w:val="24"/>
                <w:highlight w:val="none"/>
                <w:lang w:eastAsia="zh-CN"/>
              </w:rPr>
              <w:t>；</w:t>
            </w:r>
          </w:p>
          <w:p w14:paraId="3F8A840C">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2、卡券类型管理:字段管理，增、删、改、查卡券类型</w:t>
            </w:r>
          </w:p>
          <w:p w14:paraId="30457D39">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3、卡券设置:卡券的创建、修改、删除、查询等操作，可设置卡券图标、可消费商户、有效期等</w:t>
            </w:r>
            <w:r>
              <w:rPr>
                <w:rFonts w:hint="eastAsia" w:asciiTheme="minorEastAsia" w:hAnsiTheme="minorEastAsia" w:cstheme="minorEastAsia"/>
                <w:color w:val="auto"/>
                <w:sz w:val="24"/>
                <w:highlight w:val="none"/>
                <w:lang w:eastAsia="zh-CN"/>
              </w:rPr>
              <w:t>；</w:t>
            </w:r>
          </w:p>
          <w:p w14:paraId="40976D84">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4、查询发放:按条件选择用户进行卡券发放</w:t>
            </w:r>
            <w:r>
              <w:rPr>
                <w:rFonts w:hint="eastAsia" w:asciiTheme="minorEastAsia" w:hAnsiTheme="minorEastAsia" w:cstheme="minorEastAsia"/>
                <w:color w:val="auto"/>
                <w:sz w:val="24"/>
                <w:highlight w:val="none"/>
                <w:lang w:eastAsia="zh-CN"/>
              </w:rPr>
              <w:t>；</w:t>
            </w:r>
          </w:p>
          <w:p w14:paraId="3569FDD7">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5、批量发放:批量导入发放人员信息进行卡券发放</w:t>
            </w:r>
            <w:r>
              <w:rPr>
                <w:rFonts w:hint="eastAsia" w:asciiTheme="minorEastAsia" w:hAnsiTheme="minorEastAsia" w:cstheme="minorEastAsia"/>
                <w:color w:val="auto"/>
                <w:sz w:val="24"/>
                <w:highlight w:val="none"/>
                <w:lang w:eastAsia="zh-CN"/>
              </w:rPr>
              <w:t>；</w:t>
            </w:r>
          </w:p>
          <w:p w14:paraId="244C8C91">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6、匿名券发放:发放匿名卡券</w:t>
            </w:r>
            <w:r>
              <w:rPr>
                <w:rFonts w:hint="eastAsia" w:asciiTheme="minorEastAsia" w:hAnsiTheme="minorEastAsia" w:cstheme="minorEastAsia"/>
                <w:color w:val="auto"/>
                <w:sz w:val="24"/>
                <w:highlight w:val="none"/>
                <w:lang w:eastAsia="zh-CN"/>
              </w:rPr>
              <w:t>；</w:t>
            </w:r>
          </w:p>
          <w:p w14:paraId="7657DB3E">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7、匿名券批量发放:批量发放匿名券</w:t>
            </w:r>
            <w:r>
              <w:rPr>
                <w:rFonts w:hint="eastAsia" w:asciiTheme="minorEastAsia" w:hAnsiTheme="minorEastAsia" w:cstheme="minorEastAsia"/>
                <w:color w:val="auto"/>
                <w:sz w:val="24"/>
                <w:highlight w:val="none"/>
                <w:lang w:eastAsia="zh-CN"/>
              </w:rPr>
              <w:t>；</w:t>
            </w:r>
          </w:p>
          <w:p w14:paraId="3A85E62E">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8、卡券撤销:对已发放卡券进行撤销操作</w:t>
            </w:r>
            <w:r>
              <w:rPr>
                <w:rFonts w:hint="eastAsia" w:asciiTheme="minorEastAsia" w:hAnsiTheme="minorEastAsia" w:cstheme="minorEastAsia"/>
                <w:color w:val="auto"/>
                <w:sz w:val="24"/>
                <w:highlight w:val="none"/>
                <w:lang w:eastAsia="zh-CN"/>
              </w:rPr>
              <w:t>；</w:t>
            </w:r>
          </w:p>
          <w:p w14:paraId="2622714E">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9、卡券审核:如开启审核，申请的卡券需要管理员审核后生效</w:t>
            </w:r>
            <w:r>
              <w:rPr>
                <w:rFonts w:hint="eastAsia" w:asciiTheme="minorEastAsia" w:hAnsiTheme="minorEastAsia" w:cstheme="minorEastAsia"/>
                <w:color w:val="auto"/>
                <w:sz w:val="24"/>
                <w:highlight w:val="none"/>
                <w:lang w:eastAsia="zh-CN"/>
              </w:rPr>
              <w:t>；</w:t>
            </w:r>
          </w:p>
          <w:p w14:paraId="0CF018ED">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10、申请记录:如开启审核，查询当前账号申请发放记录</w:t>
            </w:r>
            <w:r>
              <w:rPr>
                <w:rFonts w:hint="eastAsia" w:asciiTheme="minorEastAsia" w:hAnsiTheme="minorEastAsia" w:cstheme="minorEastAsia"/>
                <w:color w:val="auto"/>
                <w:sz w:val="24"/>
                <w:highlight w:val="none"/>
                <w:lang w:eastAsia="zh-CN"/>
              </w:rPr>
              <w:t>；</w:t>
            </w:r>
          </w:p>
          <w:p w14:paraId="3DDFD719">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11、审核记录:如开启审核，查询当前账号已审核的发放记录</w:t>
            </w:r>
            <w:r>
              <w:rPr>
                <w:rFonts w:hint="eastAsia" w:asciiTheme="minorEastAsia" w:hAnsiTheme="minorEastAsia" w:cstheme="minorEastAsia"/>
                <w:color w:val="auto"/>
                <w:sz w:val="24"/>
                <w:highlight w:val="none"/>
                <w:lang w:eastAsia="zh-CN"/>
              </w:rPr>
              <w:t>；</w:t>
            </w:r>
          </w:p>
          <w:p w14:paraId="01CE0CD5">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12、卡券情况查询:按条件统计各类卡券发放、领取、使用总体概况</w:t>
            </w:r>
            <w:r>
              <w:rPr>
                <w:rFonts w:hint="eastAsia" w:asciiTheme="minorEastAsia" w:hAnsiTheme="minorEastAsia" w:cstheme="minorEastAsia"/>
                <w:color w:val="auto"/>
                <w:sz w:val="24"/>
                <w:highlight w:val="none"/>
                <w:lang w:eastAsia="zh-CN"/>
              </w:rPr>
              <w:t>；</w:t>
            </w:r>
          </w:p>
          <w:p w14:paraId="49E7A118">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13、卡券发放明细:卡券发放情况详细查询</w:t>
            </w:r>
            <w:r>
              <w:rPr>
                <w:rFonts w:hint="eastAsia" w:asciiTheme="minorEastAsia" w:hAnsiTheme="minorEastAsia" w:cstheme="minorEastAsia"/>
                <w:color w:val="auto"/>
                <w:sz w:val="24"/>
                <w:highlight w:val="none"/>
                <w:lang w:eastAsia="zh-CN"/>
              </w:rPr>
              <w:t>；</w:t>
            </w:r>
          </w:p>
          <w:p w14:paraId="1E42FB8C">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14、卡券流水查询:按条件对已消费卡券记录查询</w:t>
            </w:r>
            <w:r>
              <w:rPr>
                <w:rFonts w:hint="eastAsia" w:asciiTheme="minorEastAsia" w:hAnsiTheme="minorEastAsia" w:cstheme="minorEastAsia"/>
                <w:color w:val="auto"/>
                <w:sz w:val="24"/>
                <w:highlight w:val="none"/>
                <w:lang w:eastAsia="zh-CN"/>
              </w:rPr>
              <w:t>；</w:t>
            </w:r>
          </w:p>
          <w:p w14:paraId="05981738">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15、个人汇总:按个人情况汇总卡券使用情况</w:t>
            </w:r>
            <w:r>
              <w:rPr>
                <w:rFonts w:hint="eastAsia" w:asciiTheme="minorEastAsia" w:hAnsiTheme="minorEastAsia" w:cstheme="minorEastAsia"/>
                <w:color w:val="auto"/>
                <w:sz w:val="24"/>
                <w:highlight w:val="none"/>
                <w:lang w:eastAsia="zh-CN"/>
              </w:rPr>
              <w:t>；</w:t>
            </w:r>
          </w:p>
          <w:p w14:paraId="7698EC9C">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16、商户汇总:按商户情况汇总卡券使用情况</w:t>
            </w:r>
            <w:r>
              <w:rPr>
                <w:rFonts w:hint="eastAsia" w:asciiTheme="minorEastAsia" w:hAnsiTheme="minorEastAsia" w:cstheme="minorEastAsia"/>
                <w:color w:val="auto"/>
                <w:sz w:val="24"/>
                <w:highlight w:val="none"/>
                <w:lang w:eastAsia="zh-CN"/>
              </w:rPr>
              <w:t>；</w:t>
            </w:r>
          </w:p>
          <w:p w14:paraId="7A0F86B2">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17、商户部门汇总:按商户部门情况汇总卡券使用情况</w:t>
            </w:r>
            <w:r>
              <w:rPr>
                <w:rFonts w:hint="eastAsia" w:asciiTheme="minorEastAsia" w:hAnsiTheme="minorEastAsia" w:cstheme="minorEastAsia"/>
                <w:color w:val="auto"/>
                <w:sz w:val="24"/>
                <w:highlight w:val="none"/>
                <w:lang w:eastAsia="zh-CN"/>
              </w:rPr>
              <w:t>；</w:t>
            </w:r>
          </w:p>
          <w:p w14:paraId="22C550AD">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18、商户POS汇总:按消费时商户POS汇总卡券使用情况</w:t>
            </w:r>
            <w:r>
              <w:rPr>
                <w:rFonts w:hint="eastAsia" w:asciiTheme="minorEastAsia" w:hAnsiTheme="minorEastAsia" w:cstheme="minorEastAsia"/>
                <w:color w:val="auto"/>
                <w:sz w:val="24"/>
                <w:highlight w:val="none"/>
                <w:lang w:eastAsia="zh-CN"/>
              </w:rPr>
              <w:t>；</w:t>
            </w:r>
          </w:p>
          <w:p w14:paraId="02EDB745">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19、卡券对账:卡券消费与一卡通消费对账，</w:t>
            </w:r>
            <w:r>
              <w:rPr>
                <w:rFonts w:hint="eastAsia" w:asciiTheme="minorEastAsia" w:hAnsiTheme="minorEastAsia" w:cstheme="minorEastAsia"/>
                <w:color w:val="auto"/>
                <w:sz w:val="24"/>
                <w:highlight w:val="none"/>
                <w:lang w:val="en-US" w:eastAsia="zh-CN"/>
              </w:rPr>
              <w:t>对</w:t>
            </w:r>
            <w:r>
              <w:rPr>
                <w:rFonts w:hint="eastAsia" w:asciiTheme="minorEastAsia" w:hAnsiTheme="minorEastAsia" w:cstheme="minorEastAsia"/>
                <w:strike w:val="0"/>
                <w:dstrike w:val="0"/>
                <w:color w:val="auto"/>
                <w:sz w:val="24"/>
                <w:highlight w:val="none"/>
              </w:rPr>
              <w:t>未</w:t>
            </w:r>
            <w:r>
              <w:rPr>
                <w:rFonts w:hint="eastAsia" w:asciiTheme="minorEastAsia" w:hAnsiTheme="minorEastAsia" w:cstheme="minorEastAsia"/>
                <w:color w:val="auto"/>
                <w:sz w:val="24"/>
                <w:highlight w:val="none"/>
              </w:rPr>
              <w:t>对上账的数据提供对账查询，平账管理</w:t>
            </w:r>
            <w:r>
              <w:rPr>
                <w:rFonts w:hint="eastAsia" w:asciiTheme="minorEastAsia" w:hAnsiTheme="minorEastAsia" w:cstheme="minorEastAsia"/>
                <w:color w:val="auto"/>
                <w:sz w:val="24"/>
                <w:highlight w:val="none"/>
                <w:lang w:eastAsia="zh-CN"/>
              </w:rPr>
              <w:t>；</w:t>
            </w:r>
          </w:p>
          <w:p w14:paraId="4918308F">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20、卡券核销:手动核销卡券</w:t>
            </w:r>
            <w:r>
              <w:rPr>
                <w:rFonts w:hint="eastAsia" w:asciiTheme="minorEastAsia" w:hAnsiTheme="minorEastAsia" w:cstheme="minorEastAsia"/>
                <w:color w:val="auto"/>
                <w:sz w:val="24"/>
                <w:highlight w:val="none"/>
                <w:lang w:eastAsia="zh-CN"/>
              </w:rPr>
              <w:t>；</w:t>
            </w:r>
          </w:p>
          <w:p w14:paraId="30A2DB4E">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21、卡券延期:对已发放、但未使用完的卡券进行领取时间或使用时间的延期操作</w:t>
            </w:r>
            <w:r>
              <w:rPr>
                <w:rFonts w:hint="eastAsia" w:asciiTheme="minorEastAsia" w:hAnsiTheme="minorEastAsia" w:cstheme="minorEastAsia"/>
                <w:color w:val="auto"/>
                <w:sz w:val="24"/>
                <w:highlight w:val="none"/>
                <w:lang w:eastAsia="zh-CN"/>
              </w:rPr>
              <w:t>；</w:t>
            </w:r>
          </w:p>
          <w:p w14:paraId="012DD55F">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22、申请记录:延期审核开启后，当前账号的延期申请记录，可查看审核状态</w:t>
            </w:r>
            <w:r>
              <w:rPr>
                <w:rFonts w:hint="eastAsia" w:asciiTheme="minorEastAsia" w:hAnsiTheme="minorEastAsia" w:cstheme="minorEastAsia"/>
                <w:color w:val="auto"/>
                <w:sz w:val="24"/>
                <w:highlight w:val="none"/>
                <w:lang w:eastAsia="zh-CN"/>
              </w:rPr>
              <w:t>；</w:t>
            </w:r>
          </w:p>
          <w:p w14:paraId="1CB10B24">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23、延期审核:审核员使用页面，审核通过或退回审核申请</w:t>
            </w:r>
            <w:r>
              <w:rPr>
                <w:rFonts w:hint="eastAsia" w:asciiTheme="minorEastAsia" w:hAnsiTheme="minorEastAsia" w:cstheme="minorEastAsia"/>
                <w:color w:val="auto"/>
                <w:sz w:val="24"/>
                <w:highlight w:val="none"/>
                <w:lang w:eastAsia="zh-CN"/>
              </w:rPr>
              <w:t>；</w:t>
            </w:r>
          </w:p>
          <w:p w14:paraId="346B4B0F">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24、审核记录:查看当前账号的历史审核记录</w:t>
            </w:r>
            <w:r>
              <w:rPr>
                <w:rFonts w:hint="eastAsia" w:asciiTheme="minorEastAsia" w:hAnsiTheme="minorEastAsia" w:cstheme="minorEastAsia"/>
                <w:color w:val="auto"/>
                <w:sz w:val="24"/>
                <w:highlight w:val="none"/>
                <w:lang w:eastAsia="zh-CN"/>
              </w:rPr>
              <w:t>；</w:t>
            </w:r>
          </w:p>
          <w:p w14:paraId="1949C447">
            <w:pPr>
              <w:widowControl/>
              <w:jc w:val="left"/>
              <w:rPr>
                <w:rFonts w:hint="default" w:asciiTheme="minorEastAsia" w:hAnsiTheme="minorEastAsia" w:cstheme="minorEastAsia"/>
                <w:color w:val="auto"/>
                <w:sz w:val="24"/>
                <w:highlight w:val="none"/>
                <w:lang w:val="en-US"/>
              </w:rPr>
            </w:pPr>
            <w:r>
              <w:rPr>
                <w:rFonts w:hint="eastAsia" w:asciiTheme="minorEastAsia" w:hAnsiTheme="minorEastAsia" w:cstheme="minorEastAsia"/>
                <w:color w:val="auto"/>
                <w:sz w:val="24"/>
                <w:highlight w:val="none"/>
              </w:rPr>
              <w:t>25、信息配置:手动配置信息平台，已支持的短信平台仅需在页面配置信息即可</w:t>
            </w:r>
          </w:p>
        </w:tc>
        <w:tc>
          <w:tcPr>
            <w:tcW w:w="725" w:type="dxa"/>
            <w:tcBorders>
              <w:top w:val="single" w:color="auto" w:sz="4" w:space="0"/>
              <w:left w:val="single" w:color="auto" w:sz="4" w:space="0"/>
              <w:bottom w:val="single" w:color="auto" w:sz="4" w:space="0"/>
              <w:right w:val="single" w:color="auto" w:sz="4" w:space="0"/>
            </w:tcBorders>
            <w:vAlign w:val="center"/>
          </w:tcPr>
          <w:p w14:paraId="7B6CB52C">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1套</w:t>
            </w:r>
          </w:p>
        </w:tc>
      </w:tr>
      <w:tr w14:paraId="44278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77" w:type="dxa"/>
            <w:tcBorders>
              <w:top w:val="single" w:color="auto" w:sz="4" w:space="0"/>
              <w:left w:val="single" w:color="auto" w:sz="4" w:space="0"/>
              <w:bottom w:val="single" w:color="auto" w:sz="4" w:space="0"/>
              <w:right w:val="single" w:color="auto" w:sz="4" w:space="0"/>
            </w:tcBorders>
            <w:vAlign w:val="center"/>
          </w:tcPr>
          <w:p w14:paraId="3C61EC13">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w:t>
            </w:r>
          </w:p>
        </w:tc>
        <w:tc>
          <w:tcPr>
            <w:tcW w:w="1235" w:type="dxa"/>
            <w:tcBorders>
              <w:top w:val="single" w:color="auto" w:sz="4" w:space="0"/>
              <w:left w:val="single" w:color="auto" w:sz="4" w:space="0"/>
              <w:bottom w:val="single" w:color="auto" w:sz="4" w:space="0"/>
              <w:right w:val="single" w:color="auto" w:sz="4" w:space="0"/>
            </w:tcBorders>
            <w:vAlign w:val="center"/>
          </w:tcPr>
          <w:p w14:paraId="2F9FEC9A">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一卡通余额提现系统软件模块</w:t>
            </w:r>
          </w:p>
        </w:tc>
        <w:tc>
          <w:tcPr>
            <w:tcW w:w="6095" w:type="dxa"/>
            <w:tcBorders>
              <w:top w:val="single" w:color="auto" w:sz="4" w:space="0"/>
              <w:left w:val="single" w:color="auto" w:sz="4" w:space="0"/>
              <w:bottom w:val="single" w:color="auto" w:sz="4" w:space="0"/>
              <w:right w:val="single" w:color="auto" w:sz="4" w:space="0"/>
            </w:tcBorders>
            <w:vAlign w:val="center"/>
          </w:tcPr>
          <w:p w14:paraId="076F9601">
            <w:pPr>
              <w:widowControl/>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rPr>
              <w:t>支持毕业生一卡通余额进行微信自动推送。搭配校友卡模块，可支持毕业生对一卡通余额进行校友捐赠。支持毕业生对一卡通余额进行银行卡退款（财务打款）</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具体要求如下：</w:t>
            </w:r>
          </w:p>
          <w:p w14:paraId="43B3EA17">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1、支持定制毕业生退费流程，包括校园卡账户余额检测、退费途径、退费功能权限管理等；</w:t>
            </w:r>
          </w:p>
          <w:p w14:paraId="462AB3E6">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2、支持多入口集成，支持集成至企业微信、APP、小程序等入口，支持集成至毕业生离校流程中，退费状态可查</w:t>
            </w:r>
            <w:r>
              <w:rPr>
                <w:rFonts w:hint="eastAsia" w:asciiTheme="minorEastAsia" w:hAnsiTheme="minorEastAsia" w:cstheme="minorEastAsia"/>
                <w:color w:val="auto"/>
                <w:sz w:val="24"/>
                <w:highlight w:val="none"/>
                <w:lang w:eastAsia="zh-CN"/>
              </w:rPr>
              <w:t>；</w:t>
            </w:r>
          </w:p>
          <w:p w14:paraId="613048CA">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3、支持使用银行卡退费或微信自助退费，退款后支持对校园卡自动冻结，并出具退费报表；</w:t>
            </w:r>
          </w:p>
          <w:p w14:paraId="36FA7324">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4、银行卡退费，支持统计登记个人银行类型、银行卡号、手机号等，支持后台批量导出退费清单，包含姓名、学号、银行类型、银行卡号、部门、手机号等</w:t>
            </w:r>
            <w:r>
              <w:rPr>
                <w:rFonts w:hint="eastAsia" w:asciiTheme="minorEastAsia" w:hAnsiTheme="minorEastAsia" w:cstheme="minorEastAsia"/>
                <w:color w:val="auto"/>
                <w:sz w:val="24"/>
                <w:highlight w:val="none"/>
                <w:lang w:eastAsia="zh-CN"/>
              </w:rPr>
              <w:t>；</w:t>
            </w:r>
          </w:p>
          <w:p w14:paraId="6DCD52D7">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5、微信退费，支持退回关联的微信钱包</w:t>
            </w:r>
            <w:r>
              <w:rPr>
                <w:rFonts w:hint="eastAsia" w:asciiTheme="minorEastAsia" w:hAnsiTheme="minorEastAsia" w:cstheme="minorEastAsia"/>
                <w:color w:val="auto"/>
                <w:sz w:val="24"/>
                <w:highlight w:val="none"/>
                <w:lang w:eastAsia="zh-CN"/>
              </w:rPr>
              <w:t>；</w:t>
            </w:r>
          </w:p>
          <w:p w14:paraId="391AC7F5">
            <w:pPr>
              <w:widowControl/>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6、权限管控，可设置仅针对部分人员开放功能</w:t>
            </w:r>
            <w:r>
              <w:rPr>
                <w:rFonts w:hint="eastAsia" w:asciiTheme="minorEastAsia" w:hAnsiTheme="minorEastAsia" w:cstheme="minorEastAsia"/>
                <w:color w:val="auto"/>
                <w:sz w:val="24"/>
                <w:highlight w:val="none"/>
                <w:lang w:eastAsia="zh-CN"/>
              </w:rPr>
              <w:t>；</w:t>
            </w:r>
          </w:p>
          <w:p w14:paraId="5A33DC6D">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7、搭配校友卡模块，可支持毕业生对一卡通余额进行校友捐赠。</w:t>
            </w:r>
          </w:p>
        </w:tc>
        <w:tc>
          <w:tcPr>
            <w:tcW w:w="725" w:type="dxa"/>
            <w:tcBorders>
              <w:top w:val="single" w:color="auto" w:sz="4" w:space="0"/>
              <w:left w:val="single" w:color="auto" w:sz="4" w:space="0"/>
              <w:bottom w:val="single" w:color="auto" w:sz="4" w:space="0"/>
              <w:right w:val="single" w:color="auto" w:sz="4" w:space="0"/>
            </w:tcBorders>
            <w:vAlign w:val="center"/>
          </w:tcPr>
          <w:p w14:paraId="7E768AF3">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1套</w:t>
            </w:r>
          </w:p>
        </w:tc>
      </w:tr>
      <w:tr w14:paraId="7B23D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77" w:type="dxa"/>
            <w:tcBorders>
              <w:top w:val="single" w:color="auto" w:sz="4" w:space="0"/>
              <w:left w:val="single" w:color="auto" w:sz="4" w:space="0"/>
              <w:bottom w:val="single" w:color="auto" w:sz="4" w:space="0"/>
              <w:right w:val="single" w:color="auto" w:sz="4" w:space="0"/>
            </w:tcBorders>
            <w:vAlign w:val="center"/>
          </w:tcPr>
          <w:p w14:paraId="7C253682">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w:t>
            </w:r>
          </w:p>
        </w:tc>
        <w:tc>
          <w:tcPr>
            <w:tcW w:w="1235" w:type="dxa"/>
            <w:tcBorders>
              <w:top w:val="single" w:color="auto" w:sz="4" w:space="0"/>
              <w:left w:val="single" w:color="auto" w:sz="4" w:space="0"/>
              <w:bottom w:val="single" w:color="auto" w:sz="4" w:space="0"/>
              <w:right w:val="single" w:color="auto" w:sz="4" w:space="0"/>
            </w:tcBorders>
            <w:vAlign w:val="center"/>
          </w:tcPr>
          <w:p w14:paraId="60A52764">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校友卡对接模块</w:t>
            </w:r>
          </w:p>
        </w:tc>
        <w:tc>
          <w:tcPr>
            <w:tcW w:w="6095" w:type="dxa"/>
            <w:tcBorders>
              <w:top w:val="single" w:color="auto" w:sz="4" w:space="0"/>
              <w:left w:val="single" w:color="auto" w:sz="4" w:space="0"/>
              <w:bottom w:val="single" w:color="auto" w:sz="4" w:space="0"/>
              <w:right w:val="single" w:color="auto" w:sz="4" w:space="0"/>
            </w:tcBorders>
            <w:vAlign w:val="center"/>
          </w:tcPr>
          <w:p w14:paraId="218F69BA">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与学校现有的校友卡进行对接，实现毕业生数据自动转换成校友</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rPr>
              <w:t>支持对往届毕业生进行校友认证，实现校友卡申领</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具体要求如下：</w:t>
            </w:r>
          </w:p>
          <w:p w14:paraId="6074DBED">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1、提供标准化接口服务，支持校园虚拟卡与校友系统集成，实现电子校友卡；</w:t>
            </w:r>
          </w:p>
          <w:p w14:paraId="12A6445F">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2、提供接口类型包括接口认证服务、虚拟卡二维码生成接口、身份信息接口、校友账户充值接口、支付接口、认证接口等；</w:t>
            </w:r>
          </w:p>
          <w:p w14:paraId="009644B3">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3、支持学生毕业后，有校友系统将通过身份接口修改学生卡类型；</w:t>
            </w:r>
          </w:p>
          <w:p w14:paraId="2F31EA3B">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4、支持对校友接口模块的调用统计和展示；</w:t>
            </w:r>
          </w:p>
          <w:p w14:paraId="462FE9B6">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5、校友系统可展示校友卡二维码，可使用校友卡二维码进行消费、充值、门禁通行、图书借阅等。</w:t>
            </w:r>
          </w:p>
        </w:tc>
        <w:tc>
          <w:tcPr>
            <w:tcW w:w="725" w:type="dxa"/>
            <w:tcBorders>
              <w:top w:val="single" w:color="auto" w:sz="4" w:space="0"/>
              <w:left w:val="single" w:color="auto" w:sz="4" w:space="0"/>
              <w:bottom w:val="single" w:color="auto" w:sz="4" w:space="0"/>
              <w:right w:val="single" w:color="auto" w:sz="4" w:space="0"/>
            </w:tcBorders>
            <w:vAlign w:val="center"/>
          </w:tcPr>
          <w:p w14:paraId="47242DFD">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1套</w:t>
            </w:r>
          </w:p>
        </w:tc>
      </w:tr>
      <w:tr w14:paraId="692BE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77" w:type="dxa"/>
            <w:tcBorders>
              <w:top w:val="single" w:color="auto" w:sz="4" w:space="0"/>
              <w:left w:val="single" w:color="auto" w:sz="4" w:space="0"/>
              <w:bottom w:val="single" w:color="auto" w:sz="4" w:space="0"/>
              <w:right w:val="single" w:color="auto" w:sz="4" w:space="0"/>
            </w:tcBorders>
            <w:vAlign w:val="center"/>
          </w:tcPr>
          <w:p w14:paraId="558708BB">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w:t>
            </w:r>
          </w:p>
        </w:tc>
        <w:tc>
          <w:tcPr>
            <w:tcW w:w="1235" w:type="dxa"/>
            <w:tcBorders>
              <w:top w:val="single" w:color="auto" w:sz="4" w:space="0"/>
              <w:left w:val="single" w:color="auto" w:sz="4" w:space="0"/>
              <w:bottom w:val="single" w:color="auto" w:sz="4" w:space="0"/>
              <w:right w:val="single" w:color="auto" w:sz="4" w:space="0"/>
            </w:tcBorders>
            <w:vAlign w:val="center"/>
          </w:tcPr>
          <w:p w14:paraId="5438C66A">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综合管理平台</w:t>
            </w:r>
          </w:p>
        </w:tc>
        <w:tc>
          <w:tcPr>
            <w:tcW w:w="6095" w:type="dxa"/>
            <w:tcBorders>
              <w:top w:val="single" w:color="auto" w:sz="4" w:space="0"/>
              <w:left w:val="single" w:color="auto" w:sz="4" w:space="0"/>
              <w:bottom w:val="single" w:color="auto" w:sz="4" w:space="0"/>
              <w:right w:val="single" w:color="auto" w:sz="4" w:space="0"/>
            </w:tcBorders>
            <w:vAlign w:val="center"/>
          </w:tcPr>
          <w:p w14:paraId="057AD021">
            <w:pPr>
              <w:jc w:val="left"/>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平台需采用三层架构、B/S结构、模块化设计，系统管理中心、综合业务、身份子系统、多介质身份核验平台、支付平台、移动服务平台、自助服务平台、智能控水系统、运维监控系统等主要系统模块在同一网页的软件界面下操作使用；</w:t>
            </w:r>
          </w:p>
          <w:p w14:paraId="342ACA7F">
            <w:pPr>
              <w:jc w:val="left"/>
              <w:rPr>
                <w:rFonts w:hint="eastAsia"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管理模块所集成的校园卡各个业务系统统一化权限管控，实现分层管理、分级授权；</w:t>
            </w:r>
          </w:p>
          <w:p w14:paraId="7B1EAFF2">
            <w:pPr>
              <w:jc w:val="left"/>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支持对所接入的应用提供统一化的授权，支持新建角色，对角色设置权限，增加操作员时，只需要设置对应角色，即可完成快捷的权限控制；</w:t>
            </w:r>
          </w:p>
          <w:p w14:paraId="58D2E510">
            <w:pPr>
              <w:jc w:val="left"/>
              <w:rPr>
                <w:rFonts w:hint="eastAsia" w:ascii="宋体" w:hAnsi="宋体" w:eastAsia="宋体"/>
                <w:color w:val="auto"/>
                <w:sz w:val="24"/>
                <w:highlight w:val="none"/>
              </w:rPr>
            </w:pPr>
            <w:r>
              <w:rPr>
                <w:rFonts w:hint="eastAsia" w:ascii="宋体" w:hAnsi="宋体" w:eastAsia="宋体"/>
                <w:color w:val="auto"/>
                <w:sz w:val="24"/>
                <w:highlight w:val="none"/>
              </w:rPr>
              <w:t>4</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权限继承：上级管理员可以创建下级职员，支持权限继承后自定义设置，管理员可为自有权限内的数据，创建下级管理员，并能够将自有权限内的业务，授权给下级管理员。</w:t>
            </w:r>
          </w:p>
        </w:tc>
        <w:tc>
          <w:tcPr>
            <w:tcW w:w="725" w:type="dxa"/>
            <w:tcBorders>
              <w:top w:val="single" w:color="auto" w:sz="4" w:space="0"/>
              <w:left w:val="single" w:color="auto" w:sz="4" w:space="0"/>
              <w:bottom w:val="single" w:color="auto" w:sz="4" w:space="0"/>
              <w:right w:val="single" w:color="auto" w:sz="4" w:space="0"/>
            </w:tcBorders>
            <w:vAlign w:val="center"/>
          </w:tcPr>
          <w:p w14:paraId="060BE85D">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1套</w:t>
            </w:r>
          </w:p>
        </w:tc>
      </w:tr>
      <w:tr w14:paraId="53384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77" w:type="dxa"/>
            <w:tcBorders>
              <w:top w:val="single" w:color="auto" w:sz="4" w:space="0"/>
              <w:left w:val="single" w:color="auto" w:sz="4" w:space="0"/>
              <w:bottom w:val="single" w:color="auto" w:sz="4" w:space="0"/>
              <w:right w:val="single" w:color="auto" w:sz="4" w:space="0"/>
            </w:tcBorders>
            <w:vAlign w:val="center"/>
          </w:tcPr>
          <w:p w14:paraId="5C36048D">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w:t>
            </w:r>
          </w:p>
        </w:tc>
        <w:tc>
          <w:tcPr>
            <w:tcW w:w="1235" w:type="dxa"/>
            <w:tcBorders>
              <w:top w:val="single" w:color="auto" w:sz="4" w:space="0"/>
              <w:left w:val="single" w:color="auto" w:sz="4" w:space="0"/>
              <w:bottom w:val="single" w:color="auto" w:sz="4" w:space="0"/>
              <w:right w:val="single" w:color="auto" w:sz="4" w:space="0"/>
            </w:tcBorders>
            <w:vAlign w:val="center"/>
          </w:tcPr>
          <w:p w14:paraId="50C19874">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网关升级</w:t>
            </w:r>
          </w:p>
        </w:tc>
        <w:tc>
          <w:tcPr>
            <w:tcW w:w="6095" w:type="dxa"/>
            <w:tcBorders>
              <w:top w:val="single" w:color="auto" w:sz="4" w:space="0"/>
              <w:left w:val="single" w:color="auto" w:sz="4" w:space="0"/>
              <w:bottom w:val="single" w:color="auto" w:sz="4" w:space="0"/>
              <w:right w:val="single" w:color="auto" w:sz="4" w:space="0"/>
            </w:tcBorders>
            <w:vAlign w:val="center"/>
          </w:tcPr>
          <w:p w14:paraId="3334D994">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1、支持单</w:t>
            </w:r>
            <w:r>
              <w:rPr>
                <w:rFonts w:hint="eastAsia" w:asciiTheme="minorEastAsia" w:hAnsiTheme="minorEastAsia" w:cstheme="minorEastAsia"/>
                <w:color w:val="auto"/>
                <w:sz w:val="24"/>
                <w:highlight w:val="none"/>
                <w:lang w:val="en-US" w:eastAsia="zh-CN"/>
              </w:rPr>
              <w:t>机</w:t>
            </w:r>
            <w:r>
              <w:rPr>
                <w:rFonts w:hint="eastAsia" w:asciiTheme="minorEastAsia" w:hAnsiTheme="minorEastAsia" w:cstheme="minorEastAsia"/>
                <w:color w:val="auto"/>
                <w:sz w:val="24"/>
                <w:highlight w:val="none"/>
              </w:rPr>
              <w:t>部署和集群部署，POS机对业务服务请求的自动分发；</w:t>
            </w:r>
          </w:p>
          <w:p w14:paraId="4FADBF5E">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2、提供流水检测，检测消费终端交易流水与平台是否一致，未上传流水自动回传；</w:t>
            </w:r>
          </w:p>
          <w:p w14:paraId="081265C4">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3、提供全量名单或小白名单同步服务；</w:t>
            </w:r>
          </w:p>
          <w:p w14:paraId="5FD931C8">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4、参数设置：可设置持卡人的身份消费权限、身份消费系数；可对消费机的键值、餐次、POS机分组、POS机列表、POS机设置等；</w:t>
            </w:r>
          </w:p>
          <w:p w14:paraId="1420A744">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5、网关管理：可以查询网关信息，查询pos机信息，添加pos机，修改pos机，删除pos机，升级pos机，通知pos机。</w:t>
            </w:r>
          </w:p>
          <w:p w14:paraId="268792B1">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6、在线升级：实现消费机在线升级及升级文件的管理；</w:t>
            </w:r>
          </w:p>
          <w:p w14:paraId="4DF6C901">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7、管理：能从校园“校园卡”系统下载和向收款机转发白名单、下载控制文件；接收扫码收款机流水上传至校园卡系统数据中心；</w:t>
            </w:r>
          </w:p>
          <w:p w14:paraId="303EC2E7">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8、支持对POS机键盘对于值进行快捷键设置；</w:t>
            </w:r>
          </w:p>
          <w:p w14:paraId="05ACC819">
            <w:pPr>
              <w:widowControl/>
              <w:jc w:val="left"/>
              <w:rPr>
                <w:rFonts w:hint="eastAsia" w:asciiTheme="minorEastAsia" w:hAnsiTheme="minorEastAsia" w:cstheme="minorEastAsia"/>
                <w:strike w:val="0"/>
                <w:color w:val="auto"/>
                <w:sz w:val="24"/>
                <w:highlight w:val="yellow"/>
              </w:rPr>
            </w:pPr>
            <w:r>
              <w:rPr>
                <w:rFonts w:hint="eastAsia" w:asciiTheme="minorEastAsia" w:hAnsiTheme="minorEastAsia" w:cstheme="minorEastAsia"/>
                <w:color w:val="auto"/>
                <w:sz w:val="24"/>
                <w:highlight w:val="none"/>
              </w:rPr>
              <w:t>9、</w:t>
            </w:r>
            <w:r>
              <w:rPr>
                <w:rFonts w:hint="eastAsia" w:asciiTheme="minorEastAsia" w:hAnsiTheme="minorEastAsia" w:cstheme="minorEastAsia"/>
                <w:strike w:val="0"/>
                <w:dstrike w:val="0"/>
                <w:color w:val="auto"/>
                <w:sz w:val="24"/>
                <w:highlight w:val="none"/>
              </w:rPr>
              <w:t>兼容性：新增的消费系统</w:t>
            </w:r>
            <w:r>
              <w:rPr>
                <w:rFonts w:hint="eastAsia" w:asciiTheme="minorEastAsia" w:hAnsiTheme="minorEastAsia" w:cstheme="minorEastAsia"/>
                <w:strike w:val="0"/>
                <w:dstrike w:val="0"/>
                <w:color w:val="auto"/>
                <w:sz w:val="24"/>
                <w:highlight w:val="none"/>
                <w:lang w:val="en-US" w:eastAsia="zh-CN"/>
              </w:rPr>
              <w:t>需兼容</w:t>
            </w:r>
            <w:r>
              <w:rPr>
                <w:rFonts w:hint="eastAsia" w:asciiTheme="minorEastAsia" w:hAnsiTheme="minorEastAsia" w:cstheme="minorEastAsia"/>
                <w:strike w:val="0"/>
                <w:dstrike w:val="0"/>
                <w:color w:val="auto"/>
                <w:sz w:val="24"/>
                <w:highlight w:val="none"/>
              </w:rPr>
              <w:t>学校现有的“校园卡”系统，</w:t>
            </w:r>
            <w:r>
              <w:rPr>
                <w:rFonts w:hint="eastAsia" w:asciiTheme="minorEastAsia" w:hAnsiTheme="minorEastAsia" w:cstheme="minorEastAsia"/>
                <w:strike w:val="0"/>
                <w:dstrike w:val="0"/>
                <w:color w:val="auto"/>
                <w:sz w:val="24"/>
                <w:highlight w:val="none"/>
                <w:lang w:val="en-US" w:eastAsia="zh-CN"/>
              </w:rPr>
              <w:t>能从新增系统中读取现有系统数据，</w:t>
            </w:r>
            <w:r>
              <w:rPr>
                <w:rFonts w:hint="eastAsia" w:asciiTheme="minorEastAsia" w:hAnsiTheme="minorEastAsia" w:cstheme="minorEastAsia"/>
                <w:strike w:val="0"/>
                <w:dstrike w:val="0"/>
                <w:color w:val="auto"/>
                <w:sz w:val="24"/>
                <w:highlight w:val="none"/>
              </w:rPr>
              <w:t>并能对原消费机监控管理、转发黑白名单、参数配置、状态监控、在线升级等；确保历史账户不变、账户身份信息、账户资金不变、卡片逻辑分区不变、已发出的校园卡不需做任何操作便可继续使用。</w:t>
            </w:r>
          </w:p>
          <w:p w14:paraId="7C3B40DF">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10、同步账户数据：我校师生持原校园卡在扫码收款机消费过程中自动将消费数据同步至个人账户。</w:t>
            </w:r>
          </w:p>
          <w:p w14:paraId="5BC4DF01">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w:t>
            </w:r>
            <w:r>
              <w:rPr>
                <w:rFonts w:hint="eastAsia" w:ascii="宋体" w:hAnsi="宋体" w:eastAsia="宋体"/>
                <w:color w:val="auto"/>
                <w:sz w:val="24"/>
                <w:szCs w:val="24"/>
                <w:highlight w:val="none"/>
              </w:rPr>
              <w:t>账务情况：用户通过原校园卡、虚拟卡交易的流水能在相应的系统上查询统计营业窗口明细表及消费汇总表；</w:t>
            </w:r>
          </w:p>
          <w:p w14:paraId="6DC978E1">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r>
              <w:rPr>
                <w:rFonts w:hint="eastAsia" w:asciiTheme="minorEastAsia" w:hAnsiTheme="minorEastAsia" w:cstheme="minorEastAsia"/>
                <w:color w:val="auto"/>
                <w:sz w:val="24"/>
                <w:highlight w:val="none"/>
                <w:lang w:val="en-US" w:eastAsia="zh-CN"/>
              </w:rPr>
              <w:t>2</w:t>
            </w:r>
            <w:r>
              <w:rPr>
                <w:rFonts w:hint="eastAsia" w:asciiTheme="minorEastAsia" w:hAnsiTheme="minorEastAsia" w:cstheme="minorEastAsia"/>
                <w:color w:val="auto"/>
                <w:sz w:val="24"/>
                <w:highlight w:val="none"/>
              </w:rPr>
              <w:t>、▲本次升级</w:t>
            </w:r>
            <w:r>
              <w:rPr>
                <w:rFonts w:hint="eastAsia" w:asciiTheme="minorEastAsia" w:hAnsiTheme="minorEastAsia" w:cstheme="minorEastAsia"/>
                <w:strike w:val="0"/>
                <w:dstrike w:val="0"/>
                <w:color w:val="auto"/>
                <w:sz w:val="24"/>
                <w:highlight w:val="none"/>
              </w:rPr>
              <w:t>在</w:t>
            </w:r>
            <w:r>
              <w:rPr>
                <w:rFonts w:hint="eastAsia" w:asciiTheme="minorEastAsia" w:hAnsiTheme="minorEastAsia" w:cstheme="minorEastAsia"/>
                <w:strike w:val="0"/>
                <w:dstrike w:val="0"/>
                <w:color w:val="auto"/>
                <w:sz w:val="24"/>
                <w:highlight w:val="none"/>
                <w:lang w:val="en-US" w:eastAsia="zh-CN"/>
              </w:rPr>
              <w:t>满足</w:t>
            </w:r>
            <w:r>
              <w:rPr>
                <w:rFonts w:hint="eastAsia" w:asciiTheme="minorEastAsia" w:hAnsiTheme="minorEastAsia" w:cstheme="minorEastAsia"/>
                <w:color w:val="auto"/>
                <w:sz w:val="24"/>
                <w:highlight w:val="none"/>
              </w:rPr>
              <w:t>校园</w:t>
            </w:r>
            <w:r>
              <w:rPr>
                <w:rFonts w:hint="eastAsia" w:asciiTheme="minorEastAsia" w:hAnsiTheme="minorEastAsia" w:cstheme="minorEastAsia"/>
                <w:strike w:val="0"/>
                <w:dstrike w:val="0"/>
                <w:color w:val="auto"/>
                <w:sz w:val="24"/>
                <w:highlight w:val="none"/>
                <w:lang w:val="en-US" w:eastAsia="zh-CN"/>
              </w:rPr>
              <w:t>原有</w:t>
            </w:r>
            <w:r>
              <w:rPr>
                <w:rFonts w:hint="eastAsia" w:asciiTheme="minorEastAsia" w:hAnsiTheme="minorEastAsia" w:cstheme="minorEastAsia"/>
                <w:color w:val="auto"/>
                <w:sz w:val="24"/>
                <w:highlight w:val="none"/>
              </w:rPr>
              <w:t>的一卡通系统</w:t>
            </w:r>
            <w:r>
              <w:rPr>
                <w:rFonts w:hint="eastAsia" w:asciiTheme="minorEastAsia" w:hAnsiTheme="minorEastAsia" w:cstheme="minorEastAsia"/>
                <w:color w:val="auto"/>
                <w:sz w:val="24"/>
                <w:highlight w:val="none"/>
                <w:lang w:val="en-US" w:eastAsia="zh-CN"/>
              </w:rPr>
              <w:t>功能</w:t>
            </w:r>
            <w:r>
              <w:rPr>
                <w:rFonts w:hint="eastAsia" w:asciiTheme="minorEastAsia" w:hAnsiTheme="minorEastAsia" w:cstheme="minorEastAsia"/>
                <w:color w:val="auto"/>
                <w:sz w:val="24"/>
                <w:highlight w:val="none"/>
              </w:rPr>
              <w:t>基础上</w:t>
            </w:r>
            <w:r>
              <w:rPr>
                <w:rFonts w:hint="eastAsia" w:asciiTheme="minorEastAsia" w:hAnsiTheme="minorEastAsia" w:cstheme="minorEastAsia"/>
                <w:strike w:val="0"/>
                <w:dstrike w:val="0"/>
                <w:color w:val="auto"/>
                <w:sz w:val="24"/>
                <w:highlight w:val="none"/>
              </w:rPr>
              <w:t>（品牌：新中新，版本：V4.0）</w:t>
            </w:r>
            <w:r>
              <w:rPr>
                <w:rFonts w:hint="eastAsia" w:asciiTheme="minorEastAsia" w:hAnsiTheme="minorEastAsia" w:cstheme="minorEastAsia"/>
                <w:color w:val="auto"/>
                <w:sz w:val="24"/>
                <w:highlight w:val="none"/>
              </w:rPr>
              <w:t>进行，</w:t>
            </w:r>
            <w:r>
              <w:rPr>
                <w:rFonts w:hint="eastAsia" w:asciiTheme="minorEastAsia" w:hAnsiTheme="minorEastAsia" w:cstheme="minorEastAsia"/>
                <w:color w:val="auto"/>
                <w:sz w:val="24"/>
                <w:highlight w:val="none"/>
                <w:lang w:val="en-US" w:eastAsia="zh-CN"/>
              </w:rPr>
              <w:t>需完成历史数据的迁移。</w:t>
            </w:r>
            <w:r>
              <w:rPr>
                <w:rFonts w:hint="eastAsia" w:asciiTheme="minorEastAsia" w:hAnsiTheme="minorEastAsia" w:cstheme="minorEastAsia"/>
                <w:color w:val="auto"/>
                <w:sz w:val="24"/>
                <w:highlight w:val="none"/>
              </w:rPr>
              <w:t xml:space="preserve"> </w:t>
            </w:r>
          </w:p>
        </w:tc>
        <w:tc>
          <w:tcPr>
            <w:tcW w:w="725" w:type="dxa"/>
            <w:tcBorders>
              <w:top w:val="single" w:color="auto" w:sz="4" w:space="0"/>
              <w:left w:val="single" w:color="auto" w:sz="4" w:space="0"/>
              <w:bottom w:val="single" w:color="auto" w:sz="4" w:space="0"/>
              <w:right w:val="single" w:color="auto" w:sz="4" w:space="0"/>
            </w:tcBorders>
            <w:vAlign w:val="center"/>
          </w:tcPr>
          <w:p w14:paraId="15E04392">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2套</w:t>
            </w:r>
          </w:p>
        </w:tc>
      </w:tr>
      <w:tr w14:paraId="6C4E2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388" w:type="pct"/>
            <w:tcBorders>
              <w:top w:val="single" w:color="auto" w:sz="4" w:space="0"/>
              <w:left w:val="single" w:color="auto" w:sz="4" w:space="0"/>
              <w:right w:val="single" w:color="auto" w:sz="4" w:space="0"/>
            </w:tcBorders>
            <w:vAlign w:val="center"/>
          </w:tcPr>
          <w:p w14:paraId="4A75E234">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8</w:t>
            </w:r>
          </w:p>
        </w:tc>
        <w:tc>
          <w:tcPr>
            <w:tcW w:w="707" w:type="pct"/>
            <w:tcBorders>
              <w:top w:val="single" w:color="auto" w:sz="4" w:space="0"/>
              <w:left w:val="single" w:color="auto" w:sz="4" w:space="0"/>
              <w:bottom w:val="single" w:color="auto" w:sz="4" w:space="0"/>
              <w:right w:val="single" w:color="auto" w:sz="4" w:space="0"/>
            </w:tcBorders>
            <w:vAlign w:val="center"/>
          </w:tcPr>
          <w:p w14:paraId="76A05754">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个性化定制</w:t>
            </w:r>
          </w:p>
        </w:tc>
        <w:tc>
          <w:tcPr>
            <w:tcW w:w="3490" w:type="pct"/>
            <w:tcBorders>
              <w:top w:val="single" w:color="auto" w:sz="4" w:space="0"/>
              <w:left w:val="single" w:color="auto" w:sz="4" w:space="0"/>
              <w:right w:val="single" w:color="auto" w:sz="4" w:space="0"/>
            </w:tcBorders>
            <w:vAlign w:val="center"/>
          </w:tcPr>
          <w:p w14:paraId="4553E8EB">
            <w:pPr>
              <w:widowControl/>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综合业务个性化定制：</w:t>
            </w:r>
          </w:p>
          <w:p w14:paraId="24F436D0">
            <w:pPr>
              <w:widowControl/>
              <w:numPr>
                <w:ilvl w:val="0"/>
                <w:numId w:val="2"/>
              </w:numPr>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报表增加一键查询数据统计功能（将一卡通、知校平台及订餐等平台数据可以在一个页面合并显示统计汇总，如营业额、消费退费</w:t>
            </w:r>
            <w:r>
              <w:rPr>
                <w:rFonts w:hint="eastAsia" w:asciiTheme="minorEastAsia" w:hAnsiTheme="minorEastAsia" w:cstheme="minorEastAsia"/>
                <w:color w:val="auto"/>
                <w:sz w:val="24"/>
                <w:highlight w:val="none"/>
                <w:lang w:eastAsia="zh-CN"/>
              </w:rPr>
              <w:t>、充值等查询数据</w:t>
            </w:r>
            <w:r>
              <w:rPr>
                <w:rFonts w:hint="eastAsia" w:asciiTheme="minorEastAsia" w:hAnsiTheme="minorEastAsia" w:cstheme="minorEastAsia"/>
                <w:color w:val="auto"/>
                <w:sz w:val="24"/>
                <w:highlight w:val="none"/>
              </w:rPr>
              <w:t>）</w:t>
            </w:r>
          </w:p>
          <w:p w14:paraId="53CC78BA">
            <w:pPr>
              <w:widowControl/>
              <w:numPr>
                <w:ilvl w:val="0"/>
                <w:numId w:val="2"/>
              </w:numPr>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对接到友财核算系统点击生成对应的会计科目凭证（根据消费类型及金额生成对应的会计科目），无需人工从不同的收费平台查询数据后，人工合计数据，人工根据消费类型手工录入会计科目生成凭证。</w:t>
            </w:r>
          </w:p>
          <w:p w14:paraId="46F9FA3F">
            <w:pPr>
              <w:widowControl/>
              <w:numPr>
                <w:ilvl w:val="0"/>
                <w:numId w:val="2"/>
              </w:numPr>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新增商户营业统计汇总报表，检索条件为商户部门、日期范围；</w:t>
            </w:r>
          </w:p>
          <w:p w14:paraId="5517B029">
            <w:pPr>
              <w:widowControl/>
              <w:numPr>
                <w:ilvl w:val="0"/>
                <w:numId w:val="2"/>
              </w:numPr>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新增清零报表，检索条件为日期范围，查询清零交易流水；</w:t>
            </w:r>
          </w:p>
          <w:p w14:paraId="731C17C5">
            <w:pPr>
              <w:widowControl/>
              <w:numPr>
                <w:ilvl w:val="0"/>
                <w:numId w:val="2"/>
              </w:numPr>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新增交易流水一览表，检索条件工号（导入工号），日期范围，生成报表为固定格式；</w:t>
            </w:r>
          </w:p>
          <w:p w14:paraId="3F393198">
            <w:pPr>
              <w:widowControl/>
              <w:numPr>
                <w:ilvl w:val="0"/>
                <w:numId w:val="2"/>
              </w:numPr>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在交易流水查询中增加本功能，</w:t>
            </w:r>
            <w:r>
              <w:rPr>
                <w:rFonts w:hint="eastAsia" w:asciiTheme="minorEastAsia" w:hAnsiTheme="minorEastAsia" w:cstheme="minorEastAsia"/>
                <w:color w:val="auto"/>
                <w:sz w:val="24"/>
                <w:highlight w:val="none"/>
                <w:lang w:eastAsia="zh-CN"/>
              </w:rPr>
              <w:t>用户可根据需要字段</w:t>
            </w:r>
            <w:r>
              <w:rPr>
                <w:rFonts w:hint="eastAsia" w:asciiTheme="minorEastAsia" w:hAnsiTheme="minorEastAsia" w:cstheme="minorEastAsia"/>
                <w:color w:val="auto"/>
                <w:sz w:val="24"/>
                <w:highlight w:val="none"/>
              </w:rPr>
              <w:t>增加生成报表自定义列设置（在现有列中选择），</w:t>
            </w:r>
            <w:r>
              <w:rPr>
                <w:rFonts w:hint="eastAsia" w:asciiTheme="minorEastAsia" w:hAnsiTheme="minorEastAsia" w:cstheme="minorEastAsia"/>
                <w:color w:val="auto"/>
                <w:sz w:val="24"/>
                <w:highlight w:val="none"/>
                <w:lang w:eastAsia="zh-CN"/>
              </w:rPr>
              <w:t>及生成固定多个不同自定义报表，</w:t>
            </w:r>
            <w:r>
              <w:rPr>
                <w:rFonts w:hint="eastAsia" w:asciiTheme="minorEastAsia" w:hAnsiTheme="minorEastAsia" w:cstheme="minorEastAsia"/>
                <w:color w:val="auto"/>
                <w:sz w:val="24"/>
                <w:highlight w:val="none"/>
              </w:rPr>
              <w:t>导出到PDF文件</w:t>
            </w:r>
            <w:r>
              <w:rPr>
                <w:rFonts w:hint="eastAsia" w:asciiTheme="minorEastAsia" w:hAnsiTheme="minorEastAsia" w:cstheme="minorEastAsia"/>
                <w:color w:val="auto"/>
                <w:sz w:val="24"/>
                <w:highlight w:val="none"/>
                <w:lang w:eastAsia="zh-CN"/>
              </w:rPr>
              <w:t>。</w:t>
            </w:r>
          </w:p>
          <w:p w14:paraId="49D987A4">
            <w:pPr>
              <w:widowControl/>
              <w:numPr>
                <w:ilvl w:val="0"/>
                <w:numId w:val="2"/>
              </w:numPr>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在交易</w:t>
            </w:r>
            <w:r>
              <w:rPr>
                <w:rFonts w:hint="eastAsia" w:asciiTheme="minorEastAsia" w:hAnsiTheme="minorEastAsia" w:cstheme="minorEastAsia"/>
                <w:color w:val="auto"/>
                <w:sz w:val="24"/>
                <w:highlight w:val="none"/>
                <w:lang w:eastAsia="zh-CN"/>
              </w:rPr>
              <w:t>、充值</w:t>
            </w:r>
            <w:r>
              <w:rPr>
                <w:rFonts w:hint="eastAsia" w:asciiTheme="minorEastAsia" w:hAnsiTheme="minorEastAsia" w:cstheme="minorEastAsia"/>
                <w:color w:val="auto"/>
                <w:sz w:val="24"/>
                <w:highlight w:val="none"/>
              </w:rPr>
              <w:t>流水中修改，</w:t>
            </w:r>
            <w:r>
              <w:rPr>
                <w:rFonts w:hint="eastAsia" w:asciiTheme="minorEastAsia" w:hAnsiTheme="minorEastAsia" w:cstheme="minorEastAsia"/>
                <w:color w:val="auto"/>
                <w:sz w:val="24"/>
                <w:highlight w:val="none"/>
                <w:lang w:eastAsia="zh-CN"/>
              </w:rPr>
              <w:t>查询统计</w:t>
            </w:r>
            <w:r>
              <w:rPr>
                <w:rFonts w:hint="eastAsia" w:asciiTheme="minorEastAsia" w:hAnsiTheme="minorEastAsia" w:cstheme="minorEastAsia"/>
                <w:color w:val="auto"/>
                <w:sz w:val="24"/>
                <w:highlight w:val="none"/>
              </w:rPr>
              <w:t>增加聚合支付合计，持卡人消费合计，电子账户消费合计</w:t>
            </w:r>
            <w:r>
              <w:rPr>
                <w:rFonts w:hint="eastAsia" w:asciiTheme="minorEastAsia" w:hAnsiTheme="minorEastAsia" w:cstheme="minorEastAsia"/>
                <w:color w:val="auto"/>
                <w:sz w:val="24"/>
                <w:highlight w:val="none"/>
                <w:lang w:eastAsia="zh-CN"/>
              </w:rPr>
              <w:t>等类型合计</w:t>
            </w:r>
            <w:r>
              <w:rPr>
                <w:rFonts w:hint="eastAsia" w:asciiTheme="minorEastAsia" w:hAnsiTheme="minorEastAsia" w:cstheme="minorEastAsia"/>
                <w:color w:val="auto"/>
                <w:sz w:val="24"/>
                <w:highlight w:val="none"/>
              </w:rPr>
              <w:t>；</w:t>
            </w:r>
          </w:p>
          <w:p w14:paraId="443183FE">
            <w:pPr>
              <w:widowControl/>
              <w:numPr>
                <w:ilvl w:val="0"/>
                <w:numId w:val="2"/>
              </w:numPr>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在交易流水中修改，在选择商户的弹出层中增加搜索功能；</w:t>
            </w:r>
          </w:p>
          <w:p w14:paraId="7B3D6B22">
            <w:pPr>
              <w:widowControl/>
              <w:numPr>
                <w:ilvl w:val="0"/>
                <w:numId w:val="2"/>
              </w:numPr>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补助审核功能只针对批量补助，配置文件中增加开关，来控制是否启用补助审核功能；补助增加审核功能，只有通过审核的补助才真正发放补助。新增一个补助审核菜单，发放的补助记录只存临时表中，有审核权限的管理员查询补助记录，针对补助记录进行审核。交易流水查询中显示的操作员显示为上传补助的人员；</w:t>
            </w:r>
          </w:p>
          <w:p w14:paraId="642049E6">
            <w:pPr>
              <w:widowControl/>
              <w:numPr>
                <w:ilvl w:val="0"/>
                <w:numId w:val="2"/>
              </w:numPr>
              <w:jc w:val="left"/>
              <w:rPr>
                <w:color w:val="auto"/>
                <w:highlight w:val="none"/>
              </w:rPr>
            </w:pPr>
            <w:r>
              <w:rPr>
                <w:rFonts w:hint="eastAsia" w:asciiTheme="minorEastAsia" w:hAnsiTheme="minorEastAsia" w:cstheme="minorEastAsia"/>
                <w:color w:val="auto"/>
                <w:sz w:val="24"/>
                <w:highlight w:val="none"/>
              </w:rPr>
              <w:t>角色管理中增加角色管辖商户部门的设置。在综合业务商户报表下的商户营业统计汇总报表中，商户部门只显示该操作员角色中设置的管辖的商户部门，报表数据按选择的商户部门进行过滤数据。</w:t>
            </w:r>
          </w:p>
          <w:p w14:paraId="12FD35F1">
            <w:pPr>
              <w:widowControl/>
              <w:numPr>
                <w:ilvl w:val="0"/>
                <w:numId w:val="2"/>
              </w:numPr>
              <w:jc w:val="left"/>
              <w:rPr>
                <w:color w:val="auto"/>
                <w:highlight w:val="none"/>
              </w:rPr>
            </w:pPr>
            <w:r>
              <w:rPr>
                <w:rFonts w:hint="eastAsia" w:asciiTheme="minorEastAsia" w:hAnsiTheme="minorEastAsia" w:cstheme="minorEastAsia"/>
                <w:color w:val="auto"/>
                <w:sz w:val="24"/>
                <w:highlight w:val="none"/>
                <w:lang w:eastAsia="zh-CN"/>
              </w:rPr>
              <w:t>用户可自行修改登录“桂中医校园一卡通”微信公众号密码，或使用手机验证码登录。</w:t>
            </w:r>
          </w:p>
        </w:tc>
        <w:tc>
          <w:tcPr>
            <w:tcW w:w="413" w:type="pct"/>
            <w:tcBorders>
              <w:top w:val="single" w:color="auto" w:sz="4" w:space="0"/>
              <w:left w:val="single" w:color="auto" w:sz="4" w:space="0"/>
              <w:right w:val="single" w:color="auto" w:sz="4" w:space="0"/>
            </w:tcBorders>
            <w:vAlign w:val="center"/>
          </w:tcPr>
          <w:p w14:paraId="73086A39">
            <w:pPr>
              <w:widowControl/>
              <w:jc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1套</w:t>
            </w:r>
          </w:p>
        </w:tc>
      </w:tr>
      <w:bookmarkEnd w:id="0"/>
    </w:tbl>
    <w:p w14:paraId="232E9CA0">
      <w:pPr>
        <w:widowControl/>
        <w:jc w:val="center"/>
        <w:rPr>
          <w:rFonts w:hint="eastAsia" w:asciiTheme="minorEastAsia" w:hAnsiTheme="minorEastAsia" w:cstheme="minorEastAsia"/>
          <w:color w:val="auto"/>
          <w:sz w:val="24"/>
          <w:highlight w:val="none"/>
        </w:rPr>
      </w:pPr>
    </w:p>
    <w:p w14:paraId="261EC0C6">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二、商务要求</w:t>
      </w:r>
    </w:p>
    <w:p w14:paraId="3D81F4D9">
      <w:pPr>
        <w:spacing w:before="160" w:line="279"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1.合同签订期：</w:t>
      </w:r>
      <w:r>
        <w:rPr>
          <w:rFonts w:hint="eastAsia" w:ascii="宋体" w:hAnsi="宋体" w:eastAsia="宋体" w:cs="宋体"/>
          <w:color w:val="auto"/>
          <w:sz w:val="24"/>
          <w:highlight w:val="none"/>
        </w:rPr>
        <w:t>自成交通知书发出之后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w:t>
      </w:r>
    </w:p>
    <w:p w14:paraId="727D9544">
      <w:pPr>
        <w:pStyle w:val="11"/>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2.系统交付时间：</w:t>
      </w:r>
      <w:r>
        <w:rPr>
          <w:rFonts w:hint="eastAsia" w:ascii="宋体" w:hAnsi="宋体" w:eastAsia="宋体" w:cs="宋体"/>
          <w:color w:val="auto"/>
          <w:sz w:val="24"/>
          <w:highlight w:val="none"/>
        </w:rPr>
        <w:t>合同签订之日起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90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个工作日内完成系统部署、试运行、正式交付，投入使用。</w:t>
      </w:r>
    </w:p>
    <w:p w14:paraId="17A0D061">
      <w:pPr>
        <w:spacing w:before="160" w:line="279" w:lineRule="auto"/>
        <w:ind w:firstLine="482" w:firstLineChars="200"/>
        <w:rPr>
          <w:rFonts w:hint="eastAsia" w:ascii="宋体" w:hAnsi="宋体" w:eastAsia="宋体" w:cs="宋体"/>
          <w:color w:val="auto"/>
          <w:sz w:val="24"/>
          <w:highlight w:val="none"/>
          <w:lang w:bidi="en-US"/>
        </w:rPr>
      </w:pPr>
      <w:r>
        <w:rPr>
          <w:rFonts w:hint="eastAsia" w:ascii="宋体" w:hAnsi="宋体" w:eastAsia="宋体" w:cs="宋体"/>
          <w:b/>
          <w:bCs/>
          <w:color w:val="auto"/>
          <w:sz w:val="24"/>
          <w:highlight w:val="none"/>
        </w:rPr>
        <w:t>3.服务及交货地点：</w:t>
      </w:r>
      <w:r>
        <w:rPr>
          <w:rFonts w:hint="eastAsia" w:ascii="宋体" w:hAnsi="宋体" w:eastAsia="宋体" w:cs="宋体"/>
          <w:color w:val="auto"/>
          <w:sz w:val="24"/>
          <w:highlight w:val="none"/>
          <w:lang w:bidi="en-US"/>
        </w:rPr>
        <w:t>广西南宁，采购人指定地点。</w:t>
      </w:r>
    </w:p>
    <w:p w14:paraId="2BB506D5">
      <w:pPr>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4.报价要求：</w:t>
      </w:r>
      <w:r>
        <w:rPr>
          <w:rFonts w:hint="eastAsia" w:ascii="宋体" w:hAnsi="宋体" w:eastAsia="宋体" w:cs="宋体"/>
          <w:color w:val="auto"/>
          <w:sz w:val="24"/>
          <w:highlight w:val="none"/>
        </w:rPr>
        <w:t>供应商须就本项目采购需求中的所有实施内容作完整报价。总报价包括但不限于完成本项目开发成本、人工成本、管理成本、培训费、售后服务费用、税金、利润、系统安装调试、试运行、系统对接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与原软件供应商协商</w:t>
      </w:r>
      <w:r>
        <w:rPr>
          <w:rFonts w:hint="eastAsia" w:ascii="宋体" w:hAnsi="宋体" w:eastAsia="宋体" w:cs="宋体"/>
          <w:color w:val="auto"/>
          <w:sz w:val="24"/>
          <w:highlight w:val="none"/>
        </w:rPr>
        <w:t>及其他所有可能发生的一切费用。合同实施时，采购人将不予支付成交供应商没有列入的项目费用，并认为此项目的费用已包括在总报价中，采购人在合同履行期间不再支付其他额外的费用。</w:t>
      </w:r>
    </w:p>
    <w:p w14:paraId="6C66D75B">
      <w:pPr>
        <w:spacing w:before="160" w:line="279"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5.验收标准：</w:t>
      </w:r>
      <w:r>
        <w:rPr>
          <w:rFonts w:hint="eastAsia" w:ascii="宋体" w:hAnsi="宋体" w:eastAsia="宋体" w:cs="宋体"/>
          <w:color w:val="auto"/>
          <w:sz w:val="24"/>
          <w:highlight w:val="none"/>
        </w:rPr>
        <w:t>验收标准执行现行的强制执行的国家、行业、地方标准。</w:t>
      </w:r>
    </w:p>
    <w:p w14:paraId="08D2167A">
      <w:pPr>
        <w:pStyle w:val="17"/>
        <w:ind w:firstLine="482" w:firstLineChars="200"/>
        <w:rPr>
          <w:rFonts w:hint="eastAsia" w:ascii="宋体" w:hAnsi="宋体" w:eastAsia="宋体" w:cs="宋体"/>
          <w:b/>
          <w:bCs/>
          <w:color w:val="auto"/>
          <w:sz w:val="24"/>
          <w:szCs w:val="24"/>
          <w:highlight w:val="none"/>
          <w:lang w:bidi="en-US"/>
        </w:rPr>
      </w:pPr>
      <w:r>
        <w:rPr>
          <w:rFonts w:hint="eastAsia" w:ascii="宋体" w:hAnsi="宋体" w:eastAsia="宋体" w:cs="宋体"/>
          <w:b/>
          <w:bCs/>
          <w:color w:val="auto"/>
          <w:sz w:val="24"/>
          <w:szCs w:val="24"/>
          <w:highlight w:val="none"/>
          <w:lang w:bidi="en-US"/>
        </w:rPr>
        <w:t>6.服务要求：</w:t>
      </w:r>
    </w:p>
    <w:p w14:paraId="59531A86">
      <w:pPr>
        <w:pStyle w:val="11"/>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（1）实施交付</w:t>
      </w:r>
      <w:r>
        <w:rPr>
          <w:rFonts w:hint="eastAsia" w:ascii="宋体" w:hAnsi="宋体" w:eastAsia="宋体" w:cs="宋体"/>
          <w:color w:val="auto"/>
          <w:sz w:val="24"/>
          <w:highlight w:val="none"/>
        </w:rPr>
        <w:t>：成交供应商须承诺在项目交付过程中，安排软件实施人员提供不少于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90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日的信息化实施驻场服务；采购人将根据实际驻场时间对成交供应商进行考核，驻场时间不满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90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日的项目验收不予通过【供应商在响应文件中须提供承诺函（格式自拟）】。</w:t>
      </w:r>
    </w:p>
    <w:p w14:paraId="320A3C9F">
      <w:pPr>
        <w:pStyle w:val="19"/>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（2）服务人员：</w:t>
      </w:r>
    </w:p>
    <w:p w14:paraId="6AF0F067">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成交供应商须根据项目实际情况配备相关技术人员团队，团队人员不少于5人，其中项目经理为本科或以上学历。项目经理须提供其与供应商存在缴纳社保关系的有效证明或提供有效期内的用工合同。</w:t>
      </w:r>
    </w:p>
    <w:p w14:paraId="57923DBD">
      <w:pPr>
        <w:pStyle w:val="17"/>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（3）免费运维期：</w:t>
      </w:r>
    </w:p>
    <w:p w14:paraId="3D25CEF6">
      <w:pPr>
        <w:pStyle w:val="11"/>
        <w:numPr>
          <w:ilvl w:val="0"/>
          <w:numId w:val="3"/>
        </w:num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u w:val="single"/>
        </w:rPr>
        <w:t xml:space="preserve"> 五  </w:t>
      </w:r>
      <w:r>
        <w:rPr>
          <w:rFonts w:hint="eastAsia" w:ascii="宋体" w:hAnsi="宋体" w:eastAsia="宋体" w:cs="宋体"/>
          <w:color w:val="auto"/>
          <w:sz w:val="24"/>
          <w:highlight w:val="none"/>
        </w:rPr>
        <w:t>年的免费运维服务，自项目验收合格之日起开始计算。</w:t>
      </w:r>
    </w:p>
    <w:p w14:paraId="383C5539">
      <w:pPr>
        <w:pStyle w:val="11"/>
        <w:numPr>
          <w:ilvl w:val="0"/>
          <w:numId w:val="3"/>
        </w:num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运维期内，安排1名运维人员提供按需驻场服务，按采购人的要求开展例行维护或采购人指定的系统维护工作，每月向采购人提交月度运维报告。</w:t>
      </w:r>
    </w:p>
    <w:p w14:paraId="19B1B4F5">
      <w:pPr>
        <w:pStyle w:val="11"/>
        <w:numPr>
          <w:ilvl w:val="0"/>
          <w:numId w:val="3"/>
        </w:num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运维期内成交供应商每季度需开展一次回访并提交回访报告。</w:t>
      </w:r>
    </w:p>
    <w:p w14:paraId="1376C01C">
      <w:pPr>
        <w:pStyle w:val="11"/>
        <w:numPr>
          <w:ilvl w:val="0"/>
          <w:numId w:val="3"/>
        </w:num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负责各设备系统日常的故障排查，协助我校数据下发</w:t>
      </w:r>
      <w:r>
        <w:rPr>
          <w:rFonts w:hint="eastAsia" w:ascii="宋体" w:hAnsi="宋体" w:eastAsia="宋体" w:cs="宋体"/>
          <w:color w:val="auto"/>
          <w:sz w:val="24"/>
          <w:highlight w:val="none"/>
          <w:lang w:eastAsia="zh-CN"/>
        </w:rPr>
        <w:t>。</w:t>
      </w:r>
    </w:p>
    <w:p w14:paraId="3CC90F45">
      <w:pPr>
        <w:pStyle w:val="11"/>
        <w:numPr>
          <w:ilvl w:val="0"/>
          <w:numId w:val="3"/>
        </w:num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负责智慧校园系统的数据中心（数据库、金融服务、身份服务、综合前置、身份前置、第三方代理、微信、聚合支付的正常运行）</w:t>
      </w:r>
      <w:r>
        <w:rPr>
          <w:rFonts w:hint="eastAsia" w:ascii="宋体" w:hAnsi="宋体" w:eastAsia="宋体" w:cs="宋体"/>
          <w:color w:val="auto"/>
          <w:sz w:val="24"/>
          <w:highlight w:val="none"/>
          <w:lang w:eastAsia="zh-CN"/>
        </w:rPr>
        <w:t>。</w:t>
      </w:r>
    </w:p>
    <w:p w14:paraId="0AA1A28F">
      <w:pPr>
        <w:pStyle w:val="11"/>
        <w:numPr>
          <w:ilvl w:val="0"/>
          <w:numId w:val="3"/>
        </w:num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协助我校完成新生入学时人员信息的整理、审核、开户等工作。</w:t>
      </w:r>
    </w:p>
    <w:p w14:paraId="7571CF81">
      <w:pPr>
        <w:pStyle w:val="11"/>
        <w:numPr>
          <w:ilvl w:val="0"/>
          <w:numId w:val="3"/>
        </w:num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配合我校进行等保测评工作、攻防演练等各种安全保障工作的开展，完善系统的安全性和可靠性</w:t>
      </w:r>
      <w:r>
        <w:rPr>
          <w:rFonts w:hint="eastAsia" w:ascii="宋体" w:hAnsi="宋体" w:eastAsia="宋体" w:cs="宋体"/>
          <w:color w:val="auto"/>
          <w:sz w:val="24"/>
          <w:highlight w:val="none"/>
          <w:lang w:eastAsia="zh-CN"/>
        </w:rPr>
        <w:t>。</w:t>
      </w:r>
    </w:p>
    <w:p w14:paraId="62362F0B">
      <w:pPr>
        <w:pStyle w:val="11"/>
        <w:numPr>
          <w:ilvl w:val="0"/>
          <w:numId w:val="3"/>
        </w:num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协助我校处理充值不到账的排查和单边账处理，协助财务对账，协助出相关证明报告等</w:t>
      </w:r>
      <w:r>
        <w:rPr>
          <w:rFonts w:hint="eastAsia" w:ascii="宋体" w:hAnsi="宋体" w:eastAsia="宋体" w:cs="宋体"/>
          <w:color w:val="auto"/>
          <w:sz w:val="24"/>
          <w:highlight w:val="none"/>
          <w:lang w:eastAsia="zh-CN"/>
        </w:rPr>
        <w:t>。</w:t>
      </w:r>
    </w:p>
    <w:p w14:paraId="71897A0A">
      <w:pPr>
        <w:pStyle w:val="11"/>
        <w:numPr>
          <w:ilvl w:val="0"/>
          <w:numId w:val="3"/>
        </w:num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协助客户对原设备参数调整、参数下发、数据统计等</w:t>
      </w:r>
      <w:r>
        <w:rPr>
          <w:rFonts w:hint="eastAsia" w:ascii="宋体" w:hAnsi="宋体" w:eastAsia="宋体" w:cs="宋体"/>
          <w:color w:val="auto"/>
          <w:sz w:val="24"/>
          <w:highlight w:val="none"/>
          <w:lang w:eastAsia="zh-CN"/>
        </w:rPr>
        <w:t>。</w:t>
      </w:r>
    </w:p>
    <w:p w14:paraId="1F0861FD">
      <w:pPr>
        <w:pStyle w:val="11"/>
        <w:numPr>
          <w:ilvl w:val="0"/>
          <w:numId w:val="3"/>
        </w:num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协助受理客户师生反馈的相关问题以及系统突发的各类故障，保证学校智慧校园工作的正常进行。</w:t>
      </w:r>
    </w:p>
    <w:p w14:paraId="22D723F3">
      <w:pPr>
        <w:pStyle w:val="11"/>
        <w:numPr>
          <w:ilvl w:val="0"/>
          <w:numId w:val="3"/>
        </w:num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数据备份定期备份重要数据，以防止数据丢失或损坏。</w:t>
      </w:r>
    </w:p>
    <w:p w14:paraId="0C8896F9">
      <w:pPr>
        <w:pStyle w:val="11"/>
        <w:numPr>
          <w:ilvl w:val="0"/>
          <w:numId w:val="3"/>
        </w:num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故障排除和故障处理：及时诊断网络故障，采取相应措施修复故障，以减少网络停机时间。</w:t>
      </w:r>
    </w:p>
    <w:p w14:paraId="733F3564">
      <w:pPr>
        <w:pStyle w:val="11"/>
        <w:numPr>
          <w:ilvl w:val="0"/>
          <w:numId w:val="3"/>
        </w:num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用户支持和培训：为用户提供技术支持，解答问题，定期培训学校相关人员，以提升其对网络的使用和管理能力。</w:t>
      </w:r>
    </w:p>
    <w:p w14:paraId="2FB21E4A">
      <w:pPr>
        <w:pStyle w:val="11"/>
        <w:numPr>
          <w:ilvl w:val="0"/>
          <w:numId w:val="3"/>
        </w:num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安排专人负责学校，提供24小时电话服务支持</w:t>
      </w:r>
      <w:r>
        <w:rPr>
          <w:rFonts w:hint="eastAsia" w:ascii="宋体" w:hAnsi="宋体" w:eastAsia="宋体" w:cs="宋体"/>
          <w:color w:val="auto"/>
          <w:sz w:val="24"/>
          <w:highlight w:val="none"/>
          <w:lang w:eastAsia="zh-CN"/>
        </w:rPr>
        <w:t>。</w:t>
      </w:r>
    </w:p>
    <w:p w14:paraId="539143D9">
      <w:pPr>
        <w:pStyle w:val="11"/>
        <w:numPr>
          <w:ilvl w:val="0"/>
          <w:numId w:val="3"/>
        </w:num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排查处理基本故障，</w:t>
      </w:r>
      <w:r>
        <w:rPr>
          <w:rFonts w:hint="eastAsia" w:ascii="宋体" w:hAnsi="宋体" w:eastAsia="宋体" w:cs="宋体"/>
          <w:color w:val="auto"/>
          <w:sz w:val="24"/>
          <w:highlight w:val="none"/>
          <w:lang w:val="en-US" w:eastAsia="zh-CN"/>
        </w:rPr>
        <w:t>免费维修机器故障，免费提供维修配件或</w:t>
      </w:r>
      <w:r>
        <w:rPr>
          <w:rFonts w:hint="eastAsia" w:ascii="宋体" w:hAnsi="宋体" w:eastAsia="宋体" w:cs="宋体"/>
          <w:color w:val="auto"/>
          <w:sz w:val="24"/>
          <w:highlight w:val="none"/>
        </w:rPr>
        <w:t>备机更换等基本能力。</w:t>
      </w:r>
    </w:p>
    <w:p w14:paraId="21575CBA">
      <w:pPr>
        <w:rPr>
          <w:color w:val="auto"/>
          <w:highlight w:val="none"/>
        </w:rPr>
      </w:pPr>
    </w:p>
    <w:p w14:paraId="28EC04F3">
      <w:pPr>
        <w:pStyle w:val="11"/>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（4）响应时间：</w:t>
      </w:r>
      <w:r>
        <w:rPr>
          <w:rFonts w:hint="eastAsia" w:ascii="宋体" w:hAnsi="宋体" w:eastAsia="宋体" w:cs="宋体"/>
          <w:color w:val="auto"/>
          <w:sz w:val="24"/>
          <w:highlight w:val="none"/>
        </w:rPr>
        <w:t>合同期内采购单位如遇到使用或技术问题，成交供应商在采购单位问题提出后1小时内响应，一般问题2小时内解决，复杂问题4小时内解决，通过电话、远程解决不了的，成交供应商需在6小时内上门进行处理。</w:t>
      </w:r>
    </w:p>
    <w:p w14:paraId="40F7635C">
      <w:pPr>
        <w:pStyle w:val="19"/>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7.知识产权：</w:t>
      </w:r>
      <w:r>
        <w:rPr>
          <w:rFonts w:hint="eastAsia" w:ascii="宋体" w:hAnsi="宋体" w:eastAsia="宋体" w:cs="宋体"/>
          <w:color w:val="auto"/>
          <w:sz w:val="24"/>
          <w:szCs w:val="24"/>
          <w:highlight w:val="none"/>
        </w:rPr>
        <w:t>采购人在中华人民共和国境内使用供应商提供的产品服务时免受第三方提出的侵犯其专利权或其它知识产权的起诉。如果第三方提出侵权指控，成交供应商应承担由此而引起的一切法律责任和费用。</w:t>
      </w:r>
    </w:p>
    <w:p w14:paraId="05ED98E3">
      <w:pPr>
        <w:spacing w:line="520" w:lineRule="exact"/>
        <w:rPr>
          <w:rFonts w:hint="eastAsia" w:ascii="宋体" w:hAnsi="宋体" w:eastAsia="宋体" w:cs="宋体"/>
          <w:color w:val="auto"/>
          <w:kern w:val="0"/>
          <w:sz w:val="24"/>
          <w:highlight w:val="none"/>
          <w:shd w:val="clear" w:color="auto" w:fill="FFFFFF"/>
          <w:lang w:bidi="ar"/>
        </w:rPr>
        <w:sectPr>
          <w:pgSz w:w="11906" w:h="16838"/>
          <w:pgMar w:top="1440" w:right="1800" w:bottom="1440" w:left="1800" w:header="851" w:footer="992" w:gutter="0"/>
          <w:cols w:space="425" w:num="1"/>
          <w:docGrid w:type="lines" w:linePitch="312" w:charSpace="0"/>
        </w:sectPr>
      </w:pPr>
    </w:p>
    <w:p w14:paraId="69FA0AE9">
      <w:pPr>
        <w:spacing w:line="520" w:lineRule="exact"/>
        <w:rPr>
          <w:rFonts w:hint="eastAsia" w:ascii="宋体" w:hAnsi="宋体" w:eastAsia="宋体" w:cs="宋体"/>
          <w:b/>
          <w:bCs/>
          <w:color w:val="auto"/>
          <w:kern w:val="0"/>
          <w:sz w:val="24"/>
          <w:highlight w:val="none"/>
          <w:shd w:val="clear" w:color="auto" w:fill="FFFFFF"/>
          <w:lang w:bidi="ar"/>
        </w:rPr>
      </w:pPr>
      <w:r>
        <w:rPr>
          <w:rFonts w:hint="eastAsia" w:ascii="宋体" w:hAnsi="宋体" w:eastAsia="宋体" w:cs="宋体"/>
          <w:b/>
          <w:bCs/>
          <w:color w:val="auto"/>
          <w:kern w:val="0"/>
          <w:sz w:val="24"/>
          <w:highlight w:val="none"/>
          <w:shd w:val="clear" w:color="auto" w:fill="FFFFFF"/>
          <w:lang w:bidi="ar"/>
        </w:rPr>
        <w:t>附件2：报价表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472"/>
        <w:gridCol w:w="2638"/>
        <w:gridCol w:w="836"/>
        <w:gridCol w:w="1421"/>
        <w:gridCol w:w="1421"/>
      </w:tblGrid>
      <w:tr w14:paraId="2255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23905BDB">
            <w:pPr>
              <w:jc w:val="center"/>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sz w:val="24"/>
                <w:highlight w:val="none"/>
              </w:rPr>
              <w:t>序号</w:t>
            </w:r>
          </w:p>
        </w:tc>
        <w:tc>
          <w:tcPr>
            <w:tcW w:w="1472" w:type="dxa"/>
            <w:vAlign w:val="center"/>
          </w:tcPr>
          <w:p w14:paraId="439232D7">
            <w:pPr>
              <w:jc w:val="center"/>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sz w:val="24"/>
                <w:highlight w:val="none"/>
              </w:rPr>
              <w:t>项目名称</w:t>
            </w:r>
          </w:p>
        </w:tc>
        <w:tc>
          <w:tcPr>
            <w:tcW w:w="2638" w:type="dxa"/>
            <w:vAlign w:val="center"/>
          </w:tcPr>
          <w:p w14:paraId="29A45BFF">
            <w:pPr>
              <w:jc w:val="center"/>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sz w:val="24"/>
                <w:highlight w:val="none"/>
              </w:rPr>
              <w:t>功能参数</w:t>
            </w:r>
          </w:p>
        </w:tc>
        <w:tc>
          <w:tcPr>
            <w:tcW w:w="836" w:type="dxa"/>
            <w:vAlign w:val="center"/>
          </w:tcPr>
          <w:p w14:paraId="08D82262">
            <w:pPr>
              <w:jc w:val="center"/>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sz w:val="24"/>
                <w:highlight w:val="none"/>
              </w:rPr>
              <w:t>数量</w:t>
            </w:r>
          </w:p>
        </w:tc>
        <w:tc>
          <w:tcPr>
            <w:tcW w:w="1421" w:type="dxa"/>
            <w:vAlign w:val="center"/>
          </w:tcPr>
          <w:p w14:paraId="1500E32E">
            <w:pPr>
              <w:jc w:val="center"/>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sz w:val="24"/>
                <w:highlight w:val="none"/>
              </w:rPr>
              <w:t>单价（万元）</w:t>
            </w:r>
          </w:p>
        </w:tc>
        <w:tc>
          <w:tcPr>
            <w:tcW w:w="1421" w:type="dxa"/>
            <w:vAlign w:val="center"/>
          </w:tcPr>
          <w:p w14:paraId="0C7F0C1A">
            <w:pPr>
              <w:jc w:val="center"/>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sz w:val="24"/>
                <w:highlight w:val="none"/>
              </w:rPr>
              <w:t>总价（万元）</w:t>
            </w:r>
          </w:p>
        </w:tc>
      </w:tr>
      <w:tr w14:paraId="4729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43B4E34D">
            <w:pPr>
              <w:spacing w:line="520" w:lineRule="exact"/>
              <w:jc w:val="center"/>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1</w:t>
            </w:r>
          </w:p>
        </w:tc>
        <w:tc>
          <w:tcPr>
            <w:tcW w:w="1472" w:type="dxa"/>
            <w:vAlign w:val="center"/>
          </w:tcPr>
          <w:p w14:paraId="6AC1CA8E">
            <w:pPr>
              <w:spacing w:line="520" w:lineRule="exact"/>
              <w:jc w:val="center"/>
              <w:rPr>
                <w:rFonts w:hint="eastAsia" w:ascii="宋体" w:hAnsi="宋体" w:eastAsia="宋体" w:cs="宋体"/>
                <w:color w:val="auto"/>
                <w:kern w:val="0"/>
                <w:sz w:val="24"/>
                <w:highlight w:val="none"/>
                <w:shd w:val="clear" w:color="auto" w:fill="FFFFFF"/>
                <w:lang w:eastAsia="zh-CN" w:bidi="ar"/>
              </w:rPr>
            </w:pPr>
            <w:r>
              <w:rPr>
                <w:rFonts w:hint="eastAsia" w:ascii="宋体" w:hAnsi="宋体" w:eastAsia="宋体" w:cs="宋体"/>
                <w:color w:val="auto"/>
                <w:sz w:val="24"/>
                <w:highlight w:val="none"/>
                <w:lang w:eastAsia="zh-CN"/>
              </w:rPr>
              <w:t>招标采购管理系统</w:t>
            </w:r>
          </w:p>
        </w:tc>
        <w:tc>
          <w:tcPr>
            <w:tcW w:w="2638" w:type="dxa"/>
            <w:vAlign w:val="center"/>
          </w:tcPr>
          <w:p w14:paraId="123D461A">
            <w:pPr>
              <w:spacing w:line="520" w:lineRule="exact"/>
              <w:jc w:val="center"/>
              <w:rPr>
                <w:rFonts w:hint="eastAsia" w:ascii="宋体" w:hAnsi="宋体" w:eastAsia="宋体" w:cs="宋体"/>
                <w:color w:val="auto"/>
                <w:kern w:val="0"/>
                <w:sz w:val="24"/>
                <w:highlight w:val="none"/>
                <w:shd w:val="clear" w:color="auto" w:fill="FFFFFF"/>
                <w:lang w:bidi="ar"/>
              </w:rPr>
            </w:pPr>
          </w:p>
        </w:tc>
        <w:tc>
          <w:tcPr>
            <w:tcW w:w="836" w:type="dxa"/>
            <w:vAlign w:val="center"/>
          </w:tcPr>
          <w:p w14:paraId="017AA264">
            <w:pPr>
              <w:spacing w:line="520" w:lineRule="exact"/>
              <w:jc w:val="center"/>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1套</w:t>
            </w:r>
          </w:p>
        </w:tc>
        <w:tc>
          <w:tcPr>
            <w:tcW w:w="1421" w:type="dxa"/>
            <w:vAlign w:val="center"/>
          </w:tcPr>
          <w:p w14:paraId="7CD62F93">
            <w:pPr>
              <w:spacing w:line="520" w:lineRule="exact"/>
              <w:jc w:val="center"/>
              <w:rPr>
                <w:rFonts w:hint="eastAsia" w:ascii="宋体" w:hAnsi="宋体" w:eastAsia="宋体" w:cs="宋体"/>
                <w:color w:val="auto"/>
                <w:kern w:val="0"/>
                <w:sz w:val="24"/>
                <w:highlight w:val="none"/>
                <w:shd w:val="clear" w:color="auto" w:fill="FFFFFF"/>
                <w:lang w:bidi="ar"/>
              </w:rPr>
            </w:pPr>
          </w:p>
        </w:tc>
        <w:tc>
          <w:tcPr>
            <w:tcW w:w="1421" w:type="dxa"/>
            <w:vAlign w:val="center"/>
          </w:tcPr>
          <w:p w14:paraId="382DD67C">
            <w:pPr>
              <w:spacing w:line="520" w:lineRule="exact"/>
              <w:jc w:val="center"/>
              <w:rPr>
                <w:rFonts w:hint="eastAsia" w:ascii="宋体" w:hAnsi="宋体" w:eastAsia="宋体" w:cs="宋体"/>
                <w:color w:val="auto"/>
                <w:kern w:val="0"/>
                <w:sz w:val="24"/>
                <w:highlight w:val="none"/>
                <w:shd w:val="clear" w:color="auto" w:fill="FFFFFF"/>
                <w:lang w:bidi="ar"/>
              </w:rPr>
            </w:pPr>
          </w:p>
        </w:tc>
      </w:tr>
      <w:tr w14:paraId="7507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14:paraId="335F7DA2">
            <w:pPr>
              <w:spacing w:line="520" w:lineRule="exact"/>
              <w:jc w:val="left"/>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合计总价：大写：                       小写（￥           ）</w:t>
            </w:r>
          </w:p>
        </w:tc>
      </w:tr>
    </w:tbl>
    <w:p w14:paraId="6E909480">
      <w:pPr>
        <w:spacing w:line="520" w:lineRule="exact"/>
        <w:rPr>
          <w:rFonts w:hint="eastAsia" w:ascii="宋体" w:hAnsi="宋体" w:eastAsia="宋体" w:cs="宋体"/>
          <w:color w:val="auto"/>
          <w:kern w:val="0"/>
          <w:sz w:val="24"/>
          <w:highlight w:val="none"/>
          <w:shd w:val="clear" w:color="auto" w:fill="FFFFFF"/>
          <w:lang w:bidi="ar"/>
        </w:rPr>
      </w:pPr>
    </w:p>
    <w:p w14:paraId="5C9D9CD9">
      <w:pPr>
        <w:spacing w:line="520" w:lineRule="exact"/>
        <w:rPr>
          <w:rFonts w:hint="eastAsia" w:ascii="宋体" w:hAnsi="宋体" w:eastAsia="宋体" w:cs="宋体"/>
          <w:color w:val="auto"/>
          <w:kern w:val="0"/>
          <w:sz w:val="24"/>
          <w:highlight w:val="none"/>
          <w:shd w:val="clear" w:color="auto" w:fill="FFFFFF"/>
          <w:lang w:bidi="ar"/>
        </w:rPr>
      </w:pPr>
    </w:p>
    <w:p w14:paraId="3C90C8E0">
      <w:pPr>
        <w:spacing w:line="520" w:lineRule="exact"/>
        <w:rPr>
          <w:rFonts w:hint="eastAsia" w:ascii="宋体" w:hAnsi="宋体" w:eastAsia="宋体" w:cs="宋体"/>
          <w:color w:val="auto"/>
          <w:kern w:val="0"/>
          <w:sz w:val="24"/>
          <w:highlight w:val="none"/>
          <w:shd w:val="clear" w:color="auto" w:fill="FFFFFF"/>
          <w:lang w:bidi="ar"/>
        </w:rPr>
      </w:pPr>
    </w:p>
    <w:p w14:paraId="2D85EF93">
      <w:pPr>
        <w:pStyle w:val="20"/>
        <w:spacing w:line="600" w:lineRule="exact"/>
        <w:ind w:left="6240" w:hanging="6240" w:hangingChars="2600"/>
        <w:jc w:val="both"/>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公司名称（盖章）：</w:t>
      </w:r>
      <w:r>
        <w:rPr>
          <w:rFonts w:hint="eastAsia" w:ascii="宋体" w:hAnsi="宋体" w:eastAsia="宋体" w:cs="宋体"/>
          <w:bCs w:val="0"/>
          <w:color w:val="auto"/>
          <w:kern w:val="2"/>
          <w:sz w:val="24"/>
          <w:szCs w:val="24"/>
          <w:highlight w:val="none"/>
          <w:u w:val="single"/>
        </w:rPr>
        <w:t xml:space="preserve">                               </w:t>
      </w:r>
    </w:p>
    <w:p w14:paraId="36BC6FC2">
      <w:pPr>
        <w:pStyle w:val="20"/>
        <w:spacing w:line="600" w:lineRule="exact"/>
        <w:jc w:val="both"/>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联系人姓名：</w:t>
      </w:r>
      <w:r>
        <w:rPr>
          <w:rFonts w:hint="eastAsia" w:ascii="宋体" w:hAnsi="宋体" w:eastAsia="宋体" w:cs="宋体"/>
          <w:bCs w:val="0"/>
          <w:color w:val="auto"/>
          <w:kern w:val="2"/>
          <w:sz w:val="24"/>
          <w:szCs w:val="24"/>
          <w:highlight w:val="none"/>
          <w:u w:val="single"/>
        </w:rPr>
        <w:t xml:space="preserve">                                     </w:t>
      </w:r>
    </w:p>
    <w:p w14:paraId="35AB7758">
      <w:pPr>
        <w:pStyle w:val="20"/>
        <w:spacing w:line="600" w:lineRule="exact"/>
        <w:jc w:val="both"/>
        <w:rPr>
          <w:rFonts w:hint="eastAsia" w:ascii="宋体" w:hAnsi="宋体" w:eastAsia="宋体" w:cs="宋体"/>
          <w:bCs w:val="0"/>
          <w:color w:val="auto"/>
          <w:kern w:val="2"/>
          <w:sz w:val="24"/>
          <w:szCs w:val="24"/>
          <w:highlight w:val="none"/>
          <w:u w:val="single"/>
        </w:rPr>
      </w:pPr>
      <w:r>
        <w:rPr>
          <w:rFonts w:hint="eastAsia" w:ascii="宋体" w:hAnsi="宋体" w:eastAsia="宋体" w:cs="宋体"/>
          <w:bCs w:val="0"/>
          <w:color w:val="auto"/>
          <w:kern w:val="2"/>
          <w:sz w:val="24"/>
          <w:szCs w:val="24"/>
          <w:highlight w:val="none"/>
        </w:rPr>
        <w:t>联系人电话：</w:t>
      </w:r>
      <w:r>
        <w:rPr>
          <w:rFonts w:hint="eastAsia" w:ascii="宋体" w:hAnsi="宋体" w:eastAsia="宋体" w:cs="宋体"/>
          <w:bCs w:val="0"/>
          <w:color w:val="auto"/>
          <w:kern w:val="2"/>
          <w:sz w:val="24"/>
          <w:szCs w:val="24"/>
          <w:highlight w:val="none"/>
          <w:u w:val="single"/>
        </w:rPr>
        <w:t xml:space="preserve">                                     </w:t>
      </w:r>
    </w:p>
    <w:p w14:paraId="47B369D5">
      <w:pPr>
        <w:pStyle w:val="20"/>
        <w:spacing w:line="600" w:lineRule="exact"/>
        <w:jc w:val="both"/>
        <w:rPr>
          <w:rFonts w:hint="eastAsia" w:ascii="宋体" w:hAnsi="宋体" w:eastAsia="宋体" w:cs="宋体"/>
          <w:bCs w:val="0"/>
          <w:color w:val="auto"/>
          <w:kern w:val="2"/>
          <w:sz w:val="24"/>
          <w:szCs w:val="24"/>
          <w:highlight w:val="none"/>
          <w:u w:val="single"/>
        </w:rPr>
      </w:pPr>
      <w:r>
        <w:rPr>
          <w:rFonts w:hint="eastAsia" w:ascii="宋体" w:hAnsi="宋体" w:eastAsia="宋体" w:cs="宋体"/>
          <w:bCs w:val="0"/>
          <w:color w:val="auto"/>
          <w:kern w:val="2"/>
          <w:sz w:val="24"/>
          <w:szCs w:val="24"/>
          <w:highlight w:val="none"/>
        </w:rPr>
        <w:t>联系人邮箱：</w:t>
      </w:r>
      <w:r>
        <w:rPr>
          <w:rFonts w:hint="eastAsia" w:ascii="宋体" w:hAnsi="宋体" w:eastAsia="宋体" w:cs="宋体"/>
          <w:bCs w:val="0"/>
          <w:color w:val="auto"/>
          <w:kern w:val="2"/>
          <w:sz w:val="24"/>
          <w:szCs w:val="24"/>
          <w:highlight w:val="none"/>
          <w:u w:val="single"/>
        </w:rPr>
        <w:t xml:space="preserve">                                     </w:t>
      </w:r>
    </w:p>
    <w:p w14:paraId="78B51FB4">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r>
        <w:rPr>
          <w:rFonts w:hint="eastAsia" w:ascii="宋体" w:hAnsi="宋体" w:eastAsia="宋体" w:cs="宋体"/>
          <w:color w:val="auto"/>
          <w:sz w:val="24"/>
          <w:highlight w:val="none"/>
          <w:u w:val="single"/>
        </w:rPr>
        <w:t xml:space="preserve">                                          </w:t>
      </w:r>
    </w:p>
    <w:p w14:paraId="1891AEDA">
      <w:pPr>
        <w:spacing w:line="520" w:lineRule="exact"/>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 xml:space="preserve">  </w:t>
      </w:r>
    </w:p>
    <w:p w14:paraId="65FE90F0">
      <w:pPr>
        <w:spacing w:line="520" w:lineRule="exact"/>
        <w:rPr>
          <w:rFonts w:hint="eastAsia" w:ascii="宋体" w:hAnsi="宋体" w:eastAsia="宋体" w:cs="宋体"/>
          <w:color w:val="auto"/>
          <w:kern w:val="0"/>
          <w:sz w:val="24"/>
          <w:highlight w:val="none"/>
          <w:shd w:val="clear" w:color="auto" w:fill="FFFFFF"/>
          <w:lang w:bidi="ar"/>
        </w:rPr>
      </w:pPr>
    </w:p>
    <w:p w14:paraId="787BB8FB">
      <w:pPr>
        <w:spacing w:line="520" w:lineRule="exact"/>
        <w:rPr>
          <w:rFonts w:hint="eastAsia" w:ascii="宋体" w:hAnsi="宋体" w:eastAsia="宋体" w:cs="宋体"/>
          <w:b/>
          <w:bCs/>
          <w:color w:val="auto"/>
          <w:kern w:val="0"/>
          <w:sz w:val="24"/>
          <w:highlight w:val="none"/>
          <w:shd w:val="clear" w:color="auto" w:fill="FFFFFF"/>
          <w:lang w:bidi="ar"/>
        </w:rPr>
        <w:sectPr>
          <w:pgSz w:w="11906" w:h="16838"/>
          <w:pgMar w:top="1440" w:right="1800" w:bottom="1440" w:left="1800" w:header="851" w:footer="992" w:gutter="0"/>
          <w:cols w:space="425" w:num="1"/>
          <w:docGrid w:type="lines" w:linePitch="312" w:charSpace="0"/>
        </w:sectPr>
      </w:pPr>
    </w:p>
    <w:p w14:paraId="07EF3F55">
      <w:pPr>
        <w:spacing w:line="520" w:lineRule="exact"/>
        <w:rPr>
          <w:rFonts w:hint="eastAsia" w:ascii="宋体" w:hAnsi="宋体" w:eastAsia="宋体" w:cs="宋体"/>
          <w:b/>
          <w:bCs/>
          <w:color w:val="auto"/>
          <w:kern w:val="0"/>
          <w:sz w:val="24"/>
          <w:highlight w:val="none"/>
          <w:shd w:val="clear" w:color="auto" w:fill="FFFFFF"/>
          <w:lang w:bidi="ar"/>
        </w:rPr>
      </w:pPr>
      <w:r>
        <w:rPr>
          <w:rFonts w:hint="eastAsia" w:ascii="宋体" w:hAnsi="宋体" w:eastAsia="宋体" w:cs="宋体"/>
          <w:b/>
          <w:bCs/>
          <w:color w:val="auto"/>
          <w:kern w:val="0"/>
          <w:sz w:val="24"/>
          <w:highlight w:val="none"/>
          <w:shd w:val="clear" w:color="auto" w:fill="FFFFFF"/>
          <w:lang w:bidi="ar"/>
        </w:rPr>
        <w:t>附件3：功能参数偏离表</w:t>
      </w:r>
    </w:p>
    <w:tbl>
      <w:tblPr>
        <w:tblStyle w:val="12"/>
        <w:tblW w:w="466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2"/>
        <w:gridCol w:w="1400"/>
        <w:gridCol w:w="2411"/>
        <w:gridCol w:w="2219"/>
        <w:gridCol w:w="1241"/>
      </w:tblGrid>
      <w:tr w14:paraId="076C9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5691A472">
            <w:pPr>
              <w:adjustRightInd w:val="0"/>
              <w:snapToGrid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881" w:type="pct"/>
            <w:tcBorders>
              <w:top w:val="single" w:color="auto" w:sz="4" w:space="0"/>
              <w:left w:val="single" w:color="auto" w:sz="4" w:space="0"/>
              <w:bottom w:val="single" w:color="auto" w:sz="4" w:space="0"/>
              <w:right w:val="single" w:color="auto" w:sz="4" w:space="0"/>
            </w:tcBorders>
            <w:vAlign w:val="center"/>
          </w:tcPr>
          <w:p w14:paraId="0084C6E7">
            <w:pPr>
              <w:adjustRightInd w:val="0"/>
              <w:snapToGrid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1517" w:type="pct"/>
            <w:tcBorders>
              <w:top w:val="single" w:color="auto" w:sz="4" w:space="0"/>
              <w:left w:val="single" w:color="auto" w:sz="4" w:space="0"/>
              <w:bottom w:val="single" w:color="auto" w:sz="4" w:space="0"/>
              <w:right w:val="single" w:color="auto" w:sz="4" w:space="0"/>
            </w:tcBorders>
            <w:vAlign w:val="center"/>
          </w:tcPr>
          <w:p w14:paraId="064D8EF9">
            <w:pPr>
              <w:adjustRightInd w:val="0"/>
              <w:snapToGrid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技术需求</w:t>
            </w:r>
          </w:p>
        </w:tc>
        <w:tc>
          <w:tcPr>
            <w:tcW w:w="1396" w:type="pct"/>
            <w:tcBorders>
              <w:top w:val="single" w:color="auto" w:sz="4" w:space="0"/>
              <w:left w:val="single" w:color="auto" w:sz="4" w:space="0"/>
              <w:bottom w:val="single" w:color="auto" w:sz="4" w:space="0"/>
              <w:right w:val="single" w:color="auto" w:sz="4" w:space="0"/>
            </w:tcBorders>
            <w:vAlign w:val="center"/>
          </w:tcPr>
          <w:p w14:paraId="5694DE1E">
            <w:pPr>
              <w:widowControl/>
              <w:adjustRightInd w:val="0"/>
              <w:snapToGrid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实际响应情况</w:t>
            </w:r>
          </w:p>
        </w:tc>
        <w:tc>
          <w:tcPr>
            <w:tcW w:w="781" w:type="pct"/>
            <w:tcBorders>
              <w:top w:val="single" w:color="auto" w:sz="4" w:space="0"/>
              <w:left w:val="single" w:color="auto" w:sz="4" w:space="0"/>
              <w:bottom w:val="single" w:color="auto" w:sz="4" w:space="0"/>
              <w:right w:val="single" w:color="auto" w:sz="4" w:space="0"/>
            </w:tcBorders>
            <w:vAlign w:val="center"/>
          </w:tcPr>
          <w:p w14:paraId="4B030E09">
            <w:pPr>
              <w:widowControl/>
              <w:adjustRightInd w:val="0"/>
              <w:snapToGrid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47591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3F2EA6D8">
            <w:pPr>
              <w:adjustRightInd w:val="0"/>
              <w:snapToGrid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81" w:type="pct"/>
            <w:tcBorders>
              <w:top w:val="single" w:color="auto" w:sz="4" w:space="0"/>
              <w:left w:val="single" w:color="auto" w:sz="4" w:space="0"/>
              <w:bottom w:val="single" w:color="auto" w:sz="4" w:space="0"/>
              <w:right w:val="single" w:color="auto" w:sz="4" w:space="0"/>
            </w:tcBorders>
            <w:vAlign w:val="center"/>
          </w:tcPr>
          <w:p w14:paraId="2750D8BA">
            <w:pPr>
              <w:adjustRightInd w:val="0"/>
              <w:snapToGrid w:val="0"/>
              <w:spacing w:line="340" w:lineRule="exact"/>
              <w:jc w:val="center"/>
              <w:rPr>
                <w:rFonts w:hint="eastAsia" w:ascii="宋体" w:hAnsi="宋体" w:eastAsia="宋体" w:cs="宋体"/>
                <w:color w:val="auto"/>
                <w:szCs w:val="21"/>
                <w:highlight w:val="none"/>
              </w:rPr>
            </w:pPr>
          </w:p>
        </w:tc>
        <w:tc>
          <w:tcPr>
            <w:tcW w:w="1517" w:type="pct"/>
            <w:tcBorders>
              <w:top w:val="single" w:color="auto" w:sz="4" w:space="0"/>
              <w:left w:val="single" w:color="auto" w:sz="4" w:space="0"/>
              <w:bottom w:val="single" w:color="auto" w:sz="4" w:space="0"/>
              <w:right w:val="single" w:color="auto" w:sz="4" w:space="0"/>
            </w:tcBorders>
            <w:vAlign w:val="center"/>
          </w:tcPr>
          <w:p w14:paraId="0551DF00">
            <w:pPr>
              <w:adjustRightInd w:val="0"/>
              <w:snapToGrid w:val="0"/>
              <w:spacing w:line="340" w:lineRule="exact"/>
              <w:jc w:val="center"/>
              <w:rPr>
                <w:rFonts w:hint="eastAsia" w:ascii="宋体" w:hAnsi="宋体" w:eastAsia="宋体" w:cs="宋体"/>
                <w:color w:val="auto"/>
                <w:szCs w:val="21"/>
                <w:highlight w:val="none"/>
              </w:rPr>
            </w:pPr>
          </w:p>
        </w:tc>
        <w:tc>
          <w:tcPr>
            <w:tcW w:w="1396" w:type="pct"/>
            <w:tcBorders>
              <w:top w:val="single" w:color="auto" w:sz="4" w:space="0"/>
              <w:left w:val="single" w:color="auto" w:sz="4" w:space="0"/>
              <w:bottom w:val="single" w:color="auto" w:sz="4" w:space="0"/>
              <w:right w:val="single" w:color="auto" w:sz="4" w:space="0"/>
            </w:tcBorders>
            <w:vAlign w:val="center"/>
          </w:tcPr>
          <w:p w14:paraId="63BCC7F1">
            <w:pPr>
              <w:widowControl/>
              <w:adjustRightInd w:val="0"/>
              <w:snapToGrid w:val="0"/>
              <w:spacing w:line="340" w:lineRule="exact"/>
              <w:jc w:val="center"/>
              <w:rPr>
                <w:rFonts w:hint="eastAsia" w:ascii="宋体" w:hAnsi="宋体" w:eastAsia="宋体" w:cs="宋体"/>
                <w:color w:val="auto"/>
                <w:szCs w:val="21"/>
                <w:highlight w:val="none"/>
              </w:rPr>
            </w:pPr>
          </w:p>
        </w:tc>
        <w:tc>
          <w:tcPr>
            <w:tcW w:w="781" w:type="pct"/>
            <w:tcBorders>
              <w:top w:val="single" w:color="auto" w:sz="4" w:space="0"/>
              <w:left w:val="single" w:color="auto" w:sz="4" w:space="0"/>
              <w:bottom w:val="single" w:color="auto" w:sz="4" w:space="0"/>
              <w:right w:val="single" w:color="auto" w:sz="4" w:space="0"/>
            </w:tcBorders>
            <w:vAlign w:val="center"/>
          </w:tcPr>
          <w:p w14:paraId="6FE2B3F1">
            <w:pPr>
              <w:widowControl/>
              <w:adjustRightInd w:val="0"/>
              <w:snapToGrid w:val="0"/>
              <w:spacing w:line="340" w:lineRule="exact"/>
              <w:jc w:val="center"/>
              <w:rPr>
                <w:rFonts w:hint="eastAsia" w:ascii="宋体" w:hAnsi="宋体" w:eastAsia="宋体" w:cs="宋体"/>
                <w:color w:val="auto"/>
                <w:szCs w:val="21"/>
                <w:highlight w:val="none"/>
              </w:rPr>
            </w:pPr>
          </w:p>
        </w:tc>
      </w:tr>
      <w:tr w14:paraId="42C44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7ABC1C86">
            <w:pPr>
              <w:adjustRightInd w:val="0"/>
              <w:snapToGrid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81" w:type="pct"/>
            <w:tcBorders>
              <w:top w:val="single" w:color="auto" w:sz="4" w:space="0"/>
              <w:left w:val="single" w:color="auto" w:sz="4" w:space="0"/>
              <w:bottom w:val="single" w:color="auto" w:sz="4" w:space="0"/>
              <w:right w:val="single" w:color="auto" w:sz="4" w:space="0"/>
            </w:tcBorders>
            <w:vAlign w:val="center"/>
          </w:tcPr>
          <w:p w14:paraId="298AFB64">
            <w:pPr>
              <w:adjustRightInd w:val="0"/>
              <w:snapToGrid w:val="0"/>
              <w:spacing w:line="340" w:lineRule="exact"/>
              <w:jc w:val="center"/>
              <w:rPr>
                <w:rFonts w:hint="eastAsia" w:ascii="宋体" w:hAnsi="宋体" w:eastAsia="宋体" w:cs="宋体"/>
                <w:color w:val="auto"/>
                <w:szCs w:val="21"/>
                <w:highlight w:val="none"/>
              </w:rPr>
            </w:pPr>
          </w:p>
        </w:tc>
        <w:tc>
          <w:tcPr>
            <w:tcW w:w="1517" w:type="pct"/>
            <w:tcBorders>
              <w:top w:val="single" w:color="auto" w:sz="4" w:space="0"/>
              <w:left w:val="single" w:color="auto" w:sz="4" w:space="0"/>
              <w:bottom w:val="single" w:color="auto" w:sz="4" w:space="0"/>
              <w:right w:val="single" w:color="auto" w:sz="4" w:space="0"/>
            </w:tcBorders>
            <w:vAlign w:val="center"/>
          </w:tcPr>
          <w:p w14:paraId="3D8DF1F2">
            <w:pPr>
              <w:adjustRightInd w:val="0"/>
              <w:snapToGrid w:val="0"/>
              <w:spacing w:line="340" w:lineRule="exact"/>
              <w:jc w:val="center"/>
              <w:rPr>
                <w:rFonts w:hint="eastAsia" w:ascii="宋体" w:hAnsi="宋体" w:eastAsia="宋体" w:cs="宋体"/>
                <w:color w:val="auto"/>
                <w:szCs w:val="21"/>
                <w:highlight w:val="none"/>
              </w:rPr>
            </w:pPr>
          </w:p>
        </w:tc>
        <w:tc>
          <w:tcPr>
            <w:tcW w:w="1396" w:type="pct"/>
            <w:tcBorders>
              <w:top w:val="single" w:color="auto" w:sz="4" w:space="0"/>
              <w:left w:val="single" w:color="auto" w:sz="4" w:space="0"/>
              <w:bottom w:val="single" w:color="auto" w:sz="4" w:space="0"/>
              <w:right w:val="single" w:color="auto" w:sz="4" w:space="0"/>
            </w:tcBorders>
            <w:vAlign w:val="center"/>
          </w:tcPr>
          <w:p w14:paraId="7EDE59D5">
            <w:pPr>
              <w:widowControl/>
              <w:adjustRightInd w:val="0"/>
              <w:snapToGrid w:val="0"/>
              <w:spacing w:line="340" w:lineRule="exact"/>
              <w:jc w:val="center"/>
              <w:rPr>
                <w:rFonts w:hint="eastAsia" w:ascii="宋体" w:hAnsi="宋体" w:eastAsia="宋体" w:cs="宋体"/>
                <w:color w:val="auto"/>
                <w:szCs w:val="21"/>
                <w:highlight w:val="none"/>
              </w:rPr>
            </w:pPr>
          </w:p>
        </w:tc>
        <w:tc>
          <w:tcPr>
            <w:tcW w:w="781" w:type="pct"/>
            <w:tcBorders>
              <w:top w:val="single" w:color="auto" w:sz="4" w:space="0"/>
              <w:left w:val="single" w:color="auto" w:sz="4" w:space="0"/>
              <w:bottom w:val="single" w:color="auto" w:sz="4" w:space="0"/>
              <w:right w:val="single" w:color="auto" w:sz="4" w:space="0"/>
            </w:tcBorders>
            <w:vAlign w:val="center"/>
          </w:tcPr>
          <w:p w14:paraId="4FD80B07">
            <w:pPr>
              <w:widowControl/>
              <w:adjustRightInd w:val="0"/>
              <w:snapToGrid w:val="0"/>
              <w:spacing w:line="340" w:lineRule="exact"/>
              <w:jc w:val="center"/>
              <w:rPr>
                <w:rFonts w:hint="eastAsia" w:ascii="宋体" w:hAnsi="宋体" w:eastAsia="宋体" w:cs="宋体"/>
                <w:color w:val="auto"/>
                <w:szCs w:val="21"/>
                <w:highlight w:val="none"/>
              </w:rPr>
            </w:pPr>
          </w:p>
        </w:tc>
      </w:tr>
      <w:tr w14:paraId="0BE20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252FE97A">
            <w:pPr>
              <w:adjustRightInd w:val="0"/>
              <w:snapToGrid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81" w:type="pct"/>
            <w:tcBorders>
              <w:top w:val="single" w:color="auto" w:sz="4" w:space="0"/>
              <w:left w:val="single" w:color="auto" w:sz="4" w:space="0"/>
              <w:bottom w:val="single" w:color="auto" w:sz="4" w:space="0"/>
              <w:right w:val="single" w:color="auto" w:sz="4" w:space="0"/>
            </w:tcBorders>
            <w:vAlign w:val="center"/>
          </w:tcPr>
          <w:p w14:paraId="47318CA7">
            <w:pPr>
              <w:adjustRightInd w:val="0"/>
              <w:snapToGrid w:val="0"/>
              <w:spacing w:line="340" w:lineRule="exact"/>
              <w:jc w:val="center"/>
              <w:rPr>
                <w:rFonts w:hint="eastAsia" w:ascii="宋体" w:hAnsi="宋体" w:eastAsia="宋体" w:cs="宋体"/>
                <w:color w:val="auto"/>
                <w:szCs w:val="21"/>
                <w:highlight w:val="none"/>
              </w:rPr>
            </w:pPr>
          </w:p>
        </w:tc>
        <w:tc>
          <w:tcPr>
            <w:tcW w:w="1517" w:type="pct"/>
            <w:tcBorders>
              <w:top w:val="single" w:color="auto" w:sz="4" w:space="0"/>
              <w:left w:val="single" w:color="auto" w:sz="4" w:space="0"/>
              <w:bottom w:val="single" w:color="auto" w:sz="4" w:space="0"/>
              <w:right w:val="single" w:color="auto" w:sz="4" w:space="0"/>
            </w:tcBorders>
            <w:vAlign w:val="center"/>
          </w:tcPr>
          <w:p w14:paraId="343823DF">
            <w:pPr>
              <w:adjustRightInd w:val="0"/>
              <w:snapToGrid w:val="0"/>
              <w:spacing w:line="340" w:lineRule="exact"/>
              <w:jc w:val="center"/>
              <w:rPr>
                <w:rFonts w:hint="eastAsia" w:ascii="宋体" w:hAnsi="宋体" w:eastAsia="宋体" w:cs="宋体"/>
                <w:color w:val="auto"/>
                <w:szCs w:val="21"/>
                <w:highlight w:val="none"/>
              </w:rPr>
            </w:pPr>
          </w:p>
        </w:tc>
        <w:tc>
          <w:tcPr>
            <w:tcW w:w="1396" w:type="pct"/>
            <w:tcBorders>
              <w:top w:val="single" w:color="auto" w:sz="4" w:space="0"/>
              <w:left w:val="single" w:color="auto" w:sz="4" w:space="0"/>
              <w:bottom w:val="single" w:color="auto" w:sz="4" w:space="0"/>
              <w:right w:val="single" w:color="auto" w:sz="4" w:space="0"/>
            </w:tcBorders>
            <w:vAlign w:val="center"/>
          </w:tcPr>
          <w:p w14:paraId="35D1180F">
            <w:pPr>
              <w:widowControl/>
              <w:adjustRightInd w:val="0"/>
              <w:snapToGrid w:val="0"/>
              <w:spacing w:line="340" w:lineRule="exact"/>
              <w:jc w:val="center"/>
              <w:rPr>
                <w:rFonts w:hint="eastAsia" w:ascii="宋体" w:hAnsi="宋体" w:eastAsia="宋体" w:cs="宋体"/>
                <w:color w:val="auto"/>
                <w:szCs w:val="21"/>
                <w:highlight w:val="none"/>
              </w:rPr>
            </w:pPr>
          </w:p>
        </w:tc>
        <w:tc>
          <w:tcPr>
            <w:tcW w:w="781" w:type="pct"/>
            <w:tcBorders>
              <w:top w:val="single" w:color="auto" w:sz="4" w:space="0"/>
              <w:left w:val="single" w:color="auto" w:sz="4" w:space="0"/>
              <w:bottom w:val="single" w:color="auto" w:sz="4" w:space="0"/>
              <w:right w:val="single" w:color="auto" w:sz="4" w:space="0"/>
            </w:tcBorders>
            <w:vAlign w:val="center"/>
          </w:tcPr>
          <w:p w14:paraId="1D17F8BF">
            <w:pPr>
              <w:widowControl/>
              <w:adjustRightInd w:val="0"/>
              <w:snapToGrid w:val="0"/>
              <w:spacing w:line="340" w:lineRule="exact"/>
              <w:jc w:val="center"/>
              <w:rPr>
                <w:rFonts w:hint="eastAsia" w:ascii="宋体" w:hAnsi="宋体" w:eastAsia="宋体" w:cs="宋体"/>
                <w:color w:val="auto"/>
                <w:szCs w:val="21"/>
                <w:highlight w:val="none"/>
              </w:rPr>
            </w:pPr>
          </w:p>
        </w:tc>
      </w:tr>
      <w:tr w14:paraId="2D021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3DF9F193">
            <w:pPr>
              <w:adjustRightInd w:val="0"/>
              <w:snapToGrid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14:paraId="238AB46A">
            <w:pPr>
              <w:adjustRightInd w:val="0"/>
              <w:snapToGrid w:val="0"/>
              <w:spacing w:line="340" w:lineRule="exact"/>
              <w:jc w:val="center"/>
              <w:rPr>
                <w:rFonts w:hint="eastAsia" w:ascii="宋体" w:hAnsi="宋体" w:eastAsia="宋体" w:cs="宋体"/>
                <w:color w:val="auto"/>
                <w:szCs w:val="21"/>
                <w:highlight w:val="none"/>
              </w:rPr>
            </w:pPr>
          </w:p>
        </w:tc>
        <w:tc>
          <w:tcPr>
            <w:tcW w:w="1517" w:type="pct"/>
            <w:tcBorders>
              <w:top w:val="single" w:color="auto" w:sz="4" w:space="0"/>
              <w:left w:val="single" w:color="auto" w:sz="4" w:space="0"/>
              <w:bottom w:val="single" w:color="auto" w:sz="4" w:space="0"/>
              <w:right w:val="single" w:color="auto" w:sz="4" w:space="0"/>
            </w:tcBorders>
            <w:vAlign w:val="center"/>
          </w:tcPr>
          <w:p w14:paraId="693EFC25">
            <w:pPr>
              <w:adjustRightInd w:val="0"/>
              <w:snapToGrid w:val="0"/>
              <w:spacing w:line="340" w:lineRule="exact"/>
              <w:jc w:val="center"/>
              <w:rPr>
                <w:rFonts w:hint="eastAsia" w:ascii="宋体" w:hAnsi="宋体" w:eastAsia="宋体" w:cs="宋体"/>
                <w:color w:val="auto"/>
                <w:szCs w:val="21"/>
                <w:highlight w:val="none"/>
              </w:rPr>
            </w:pPr>
          </w:p>
        </w:tc>
        <w:tc>
          <w:tcPr>
            <w:tcW w:w="1396" w:type="pct"/>
            <w:tcBorders>
              <w:top w:val="single" w:color="auto" w:sz="4" w:space="0"/>
              <w:left w:val="single" w:color="auto" w:sz="4" w:space="0"/>
              <w:bottom w:val="single" w:color="auto" w:sz="4" w:space="0"/>
              <w:right w:val="single" w:color="auto" w:sz="4" w:space="0"/>
            </w:tcBorders>
            <w:vAlign w:val="center"/>
          </w:tcPr>
          <w:p w14:paraId="46002D38">
            <w:pPr>
              <w:widowControl/>
              <w:adjustRightInd w:val="0"/>
              <w:snapToGrid w:val="0"/>
              <w:spacing w:line="340" w:lineRule="exact"/>
              <w:jc w:val="center"/>
              <w:rPr>
                <w:rFonts w:hint="eastAsia" w:ascii="宋体" w:hAnsi="宋体" w:eastAsia="宋体" w:cs="宋体"/>
                <w:color w:val="auto"/>
                <w:szCs w:val="21"/>
                <w:highlight w:val="none"/>
              </w:rPr>
            </w:pPr>
          </w:p>
        </w:tc>
        <w:tc>
          <w:tcPr>
            <w:tcW w:w="781" w:type="pct"/>
            <w:tcBorders>
              <w:top w:val="single" w:color="auto" w:sz="4" w:space="0"/>
              <w:left w:val="single" w:color="auto" w:sz="4" w:space="0"/>
              <w:bottom w:val="single" w:color="auto" w:sz="4" w:space="0"/>
              <w:right w:val="single" w:color="auto" w:sz="4" w:space="0"/>
            </w:tcBorders>
            <w:vAlign w:val="center"/>
          </w:tcPr>
          <w:p w14:paraId="519DB162">
            <w:pPr>
              <w:widowControl/>
              <w:adjustRightInd w:val="0"/>
              <w:snapToGrid w:val="0"/>
              <w:spacing w:line="340" w:lineRule="exact"/>
              <w:jc w:val="center"/>
              <w:rPr>
                <w:rFonts w:hint="eastAsia" w:ascii="宋体" w:hAnsi="宋体" w:eastAsia="宋体" w:cs="宋体"/>
                <w:color w:val="auto"/>
                <w:szCs w:val="21"/>
                <w:highlight w:val="none"/>
              </w:rPr>
            </w:pPr>
          </w:p>
        </w:tc>
      </w:tr>
    </w:tbl>
    <w:p w14:paraId="12825EE5">
      <w:pPr>
        <w:spacing w:line="520" w:lineRule="exact"/>
        <w:rPr>
          <w:rFonts w:hint="eastAsia" w:ascii="宋体" w:hAnsi="宋体" w:eastAsia="宋体" w:cs="宋体"/>
          <w:b/>
          <w:bCs/>
          <w:color w:val="auto"/>
          <w:kern w:val="0"/>
          <w:sz w:val="24"/>
          <w:highlight w:val="none"/>
          <w:shd w:val="clear" w:color="auto" w:fill="FFFFFF"/>
          <w:lang w:bidi="ar"/>
        </w:rPr>
      </w:pPr>
    </w:p>
    <w:p w14:paraId="11941CAA">
      <w:pPr>
        <w:spacing w:line="520" w:lineRule="exact"/>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供应商应根据自身情况，在功能参数偏离表中详细列明实际响应情况，并填写“偏离说明”。“偏离说明”栏注明“正偏离”、“负偏离”或“无偏离”。</w:t>
      </w:r>
    </w:p>
    <w:p w14:paraId="3691C3E7">
      <w:pPr>
        <w:pStyle w:val="20"/>
        <w:spacing w:line="600" w:lineRule="exact"/>
        <w:ind w:left="6240" w:hanging="6240" w:hangingChars="2600"/>
        <w:jc w:val="both"/>
        <w:rPr>
          <w:rFonts w:hint="eastAsia" w:ascii="宋体" w:hAnsi="宋体" w:eastAsia="宋体" w:cs="宋体"/>
          <w:bCs w:val="0"/>
          <w:color w:val="auto"/>
          <w:kern w:val="2"/>
          <w:sz w:val="24"/>
          <w:szCs w:val="24"/>
          <w:highlight w:val="none"/>
        </w:rPr>
      </w:pPr>
    </w:p>
    <w:p w14:paraId="5A6C123A">
      <w:pPr>
        <w:pStyle w:val="20"/>
        <w:spacing w:line="600" w:lineRule="exact"/>
        <w:ind w:left="6240" w:hanging="6240" w:hangingChars="2600"/>
        <w:jc w:val="both"/>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公司名称（盖章）：</w:t>
      </w:r>
      <w:r>
        <w:rPr>
          <w:rFonts w:hint="eastAsia" w:ascii="宋体" w:hAnsi="宋体" w:eastAsia="宋体" w:cs="宋体"/>
          <w:bCs w:val="0"/>
          <w:color w:val="auto"/>
          <w:kern w:val="2"/>
          <w:sz w:val="24"/>
          <w:szCs w:val="24"/>
          <w:highlight w:val="none"/>
          <w:u w:val="single"/>
        </w:rPr>
        <w:t xml:space="preserve">                               </w:t>
      </w:r>
    </w:p>
    <w:p w14:paraId="448C3A98">
      <w:pPr>
        <w:pStyle w:val="20"/>
        <w:spacing w:line="600" w:lineRule="exact"/>
        <w:jc w:val="both"/>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联系人姓名：</w:t>
      </w:r>
      <w:r>
        <w:rPr>
          <w:rFonts w:hint="eastAsia" w:ascii="宋体" w:hAnsi="宋体" w:eastAsia="宋体" w:cs="宋体"/>
          <w:bCs w:val="0"/>
          <w:color w:val="auto"/>
          <w:kern w:val="2"/>
          <w:sz w:val="24"/>
          <w:szCs w:val="24"/>
          <w:highlight w:val="none"/>
          <w:u w:val="single"/>
        </w:rPr>
        <w:t xml:space="preserve">                                     </w:t>
      </w:r>
    </w:p>
    <w:p w14:paraId="1B3F5C2D">
      <w:pPr>
        <w:pStyle w:val="20"/>
        <w:spacing w:line="600" w:lineRule="exact"/>
        <w:jc w:val="both"/>
        <w:rPr>
          <w:rFonts w:hint="eastAsia" w:ascii="宋体" w:hAnsi="宋体" w:eastAsia="宋体" w:cs="宋体"/>
          <w:bCs w:val="0"/>
          <w:color w:val="auto"/>
          <w:kern w:val="2"/>
          <w:sz w:val="24"/>
          <w:szCs w:val="24"/>
          <w:highlight w:val="none"/>
          <w:u w:val="single"/>
        </w:rPr>
      </w:pPr>
      <w:r>
        <w:rPr>
          <w:rFonts w:hint="eastAsia" w:ascii="宋体" w:hAnsi="宋体" w:eastAsia="宋体" w:cs="宋体"/>
          <w:bCs w:val="0"/>
          <w:color w:val="auto"/>
          <w:kern w:val="2"/>
          <w:sz w:val="24"/>
          <w:szCs w:val="24"/>
          <w:highlight w:val="none"/>
        </w:rPr>
        <w:t>联系人电话：</w:t>
      </w:r>
      <w:r>
        <w:rPr>
          <w:rFonts w:hint="eastAsia" w:ascii="宋体" w:hAnsi="宋体" w:eastAsia="宋体" w:cs="宋体"/>
          <w:bCs w:val="0"/>
          <w:color w:val="auto"/>
          <w:kern w:val="2"/>
          <w:sz w:val="24"/>
          <w:szCs w:val="24"/>
          <w:highlight w:val="none"/>
          <w:u w:val="single"/>
        </w:rPr>
        <w:t xml:space="preserve">                                     </w:t>
      </w:r>
    </w:p>
    <w:p w14:paraId="5B1C4EC5">
      <w:pPr>
        <w:pStyle w:val="20"/>
        <w:spacing w:line="600" w:lineRule="exact"/>
        <w:jc w:val="both"/>
        <w:rPr>
          <w:rFonts w:hint="eastAsia" w:ascii="宋体" w:hAnsi="宋体" w:eastAsia="宋体" w:cs="宋体"/>
          <w:bCs w:val="0"/>
          <w:color w:val="auto"/>
          <w:kern w:val="2"/>
          <w:sz w:val="24"/>
          <w:szCs w:val="24"/>
          <w:highlight w:val="none"/>
          <w:u w:val="single"/>
        </w:rPr>
      </w:pPr>
      <w:r>
        <w:rPr>
          <w:rFonts w:hint="eastAsia" w:ascii="宋体" w:hAnsi="宋体" w:eastAsia="宋体" w:cs="宋体"/>
          <w:bCs w:val="0"/>
          <w:color w:val="auto"/>
          <w:kern w:val="2"/>
          <w:sz w:val="24"/>
          <w:szCs w:val="24"/>
          <w:highlight w:val="none"/>
        </w:rPr>
        <w:t>联系人邮箱：</w:t>
      </w:r>
      <w:r>
        <w:rPr>
          <w:rFonts w:hint="eastAsia" w:ascii="宋体" w:hAnsi="宋体" w:eastAsia="宋体" w:cs="宋体"/>
          <w:bCs w:val="0"/>
          <w:color w:val="auto"/>
          <w:kern w:val="2"/>
          <w:sz w:val="24"/>
          <w:szCs w:val="24"/>
          <w:highlight w:val="none"/>
          <w:u w:val="single"/>
        </w:rPr>
        <w:t xml:space="preserve">                                     </w:t>
      </w:r>
    </w:p>
    <w:p w14:paraId="35923549">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r>
        <w:rPr>
          <w:rFonts w:hint="eastAsia" w:ascii="宋体" w:hAnsi="宋体" w:eastAsia="宋体" w:cs="宋体"/>
          <w:color w:val="auto"/>
          <w:sz w:val="24"/>
          <w:highlight w:val="none"/>
          <w:u w:val="single"/>
        </w:rPr>
        <w:t xml:space="preserve">                                          </w:t>
      </w:r>
    </w:p>
    <w:p w14:paraId="33A44DF2">
      <w:pPr>
        <w:spacing w:line="520" w:lineRule="exact"/>
        <w:rPr>
          <w:rFonts w:hint="eastAsia" w:ascii="宋体" w:hAnsi="宋体" w:eastAsia="宋体" w:cs="宋体"/>
          <w:color w:val="auto"/>
          <w:kern w:val="0"/>
          <w:sz w:val="24"/>
          <w:highlight w:val="none"/>
          <w:shd w:val="clear" w:color="auto" w:fill="FFFFFF"/>
          <w:lang w:bidi="ar"/>
        </w:rPr>
      </w:pPr>
    </w:p>
    <w:p w14:paraId="7AAE97DA">
      <w:pPr>
        <w:spacing w:line="520" w:lineRule="exact"/>
        <w:rPr>
          <w:rFonts w:hint="eastAsia" w:ascii="宋体" w:hAnsi="宋体" w:eastAsia="宋体" w:cs="宋体"/>
          <w:color w:val="auto"/>
          <w:kern w:val="0"/>
          <w:sz w:val="24"/>
          <w:highlight w:val="none"/>
          <w:shd w:val="clear" w:color="auto" w:fill="FFFFFF"/>
          <w:lang w:bidi="ar"/>
        </w:rPr>
      </w:pPr>
    </w:p>
    <w:p w14:paraId="3E74CBC0">
      <w:pPr>
        <w:spacing w:line="520" w:lineRule="exact"/>
        <w:rPr>
          <w:rFonts w:hint="eastAsia" w:ascii="宋体" w:hAnsi="宋体" w:eastAsia="宋体" w:cs="宋体"/>
          <w:color w:val="auto"/>
          <w:kern w:val="0"/>
          <w:sz w:val="24"/>
          <w:highlight w:val="none"/>
          <w:shd w:val="clear" w:color="auto" w:fill="FFFFFF"/>
          <w:lang w:bidi="ar"/>
        </w:rPr>
      </w:pPr>
    </w:p>
    <w:p w14:paraId="6E4758A2">
      <w:pPr>
        <w:spacing w:line="520" w:lineRule="exact"/>
        <w:rPr>
          <w:rFonts w:hint="eastAsia" w:ascii="宋体" w:hAnsi="宋体" w:eastAsia="宋体" w:cs="宋体"/>
          <w:color w:val="auto"/>
          <w:kern w:val="0"/>
          <w:sz w:val="24"/>
          <w:highlight w:val="none"/>
          <w:shd w:val="clear" w:color="auto" w:fill="FFFFFF"/>
          <w:lang w:bidi="ar"/>
        </w:rPr>
      </w:pPr>
    </w:p>
    <w:p w14:paraId="710EB5AF">
      <w:pPr>
        <w:spacing w:line="520" w:lineRule="exact"/>
        <w:rPr>
          <w:rFonts w:hint="eastAsia" w:ascii="宋体" w:hAnsi="宋体" w:eastAsia="宋体" w:cs="宋体"/>
          <w:color w:val="auto"/>
          <w:kern w:val="0"/>
          <w:sz w:val="24"/>
          <w:highlight w:val="none"/>
          <w:shd w:val="clear" w:color="auto" w:fill="FFFFFF"/>
          <w:lang w:bidi="ar"/>
        </w:rPr>
      </w:pPr>
    </w:p>
    <w:p w14:paraId="0D64C357">
      <w:pPr>
        <w:spacing w:line="520" w:lineRule="exact"/>
        <w:rPr>
          <w:rFonts w:hint="eastAsia" w:ascii="宋体" w:hAnsi="宋体" w:eastAsia="宋体" w:cs="宋体"/>
          <w:color w:val="auto"/>
          <w:kern w:val="0"/>
          <w:sz w:val="24"/>
          <w:highlight w:val="none"/>
          <w:shd w:val="clear" w:color="auto" w:fill="FFFFFF"/>
          <w:lang w:bidi="ar"/>
        </w:rPr>
      </w:pPr>
    </w:p>
    <w:p w14:paraId="20D3082D">
      <w:pPr>
        <w:spacing w:line="520" w:lineRule="exact"/>
        <w:rPr>
          <w:rFonts w:hint="eastAsia" w:ascii="宋体" w:hAnsi="宋体" w:eastAsia="宋体" w:cs="宋体"/>
          <w:color w:val="auto"/>
          <w:kern w:val="0"/>
          <w:sz w:val="24"/>
          <w:highlight w:val="none"/>
          <w:shd w:val="clear" w:color="auto" w:fill="FFFFFF"/>
          <w:lang w:bidi="ar"/>
        </w:rPr>
      </w:pPr>
    </w:p>
    <w:p w14:paraId="1E3ABF6E">
      <w:pPr>
        <w:spacing w:line="520" w:lineRule="exact"/>
        <w:rPr>
          <w:rFonts w:hint="eastAsia" w:ascii="宋体" w:hAnsi="宋体" w:eastAsia="宋体" w:cs="宋体"/>
          <w:color w:val="auto"/>
          <w:kern w:val="0"/>
          <w:sz w:val="24"/>
          <w:highlight w:val="none"/>
          <w:shd w:val="clear" w:color="auto" w:fill="FFFFFF"/>
          <w:lang w:bidi="ar"/>
        </w:rPr>
      </w:pPr>
    </w:p>
    <w:p w14:paraId="00714223">
      <w:pPr>
        <w:spacing w:line="520" w:lineRule="exact"/>
        <w:rPr>
          <w:rFonts w:hint="eastAsia" w:ascii="宋体" w:hAnsi="宋体" w:eastAsia="宋体" w:cs="宋体"/>
          <w:color w:val="auto"/>
          <w:kern w:val="0"/>
          <w:sz w:val="24"/>
          <w:highlight w:val="none"/>
          <w:shd w:val="clear" w:color="auto" w:fill="FFFFFF"/>
          <w:lang w:bidi="ar"/>
        </w:rPr>
      </w:pPr>
    </w:p>
    <w:p w14:paraId="2187D30B">
      <w:pPr>
        <w:spacing w:line="520" w:lineRule="exact"/>
        <w:rPr>
          <w:rFonts w:hint="eastAsia" w:ascii="宋体" w:hAnsi="宋体" w:eastAsia="宋体" w:cs="宋体"/>
          <w:color w:val="auto"/>
          <w:kern w:val="0"/>
          <w:sz w:val="24"/>
          <w:highlight w:val="none"/>
          <w:shd w:val="clear" w:color="auto" w:fill="FFFFFF"/>
          <w:lang w:bidi="ar"/>
        </w:rPr>
      </w:pPr>
    </w:p>
    <w:p w14:paraId="276815F7">
      <w:pPr>
        <w:spacing w:line="360" w:lineRule="auto"/>
        <w:jc w:val="left"/>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b/>
          <w:bCs/>
          <w:color w:val="auto"/>
          <w:kern w:val="0"/>
          <w:sz w:val="24"/>
          <w:highlight w:val="none"/>
          <w:shd w:val="clear" w:color="auto" w:fill="FFFFFF"/>
          <w:lang w:bidi="ar"/>
        </w:rPr>
        <w:t xml:space="preserve">附件4： </w:t>
      </w:r>
      <w:r>
        <w:rPr>
          <w:rFonts w:hint="eastAsia" w:ascii="宋体" w:hAnsi="宋体" w:eastAsia="宋体" w:cs="宋体"/>
          <w:color w:val="auto"/>
          <w:kern w:val="0"/>
          <w:sz w:val="24"/>
          <w:highlight w:val="none"/>
          <w:shd w:val="clear" w:color="auto" w:fill="FFFFFF"/>
          <w:lang w:bidi="ar"/>
        </w:rPr>
        <w:t xml:space="preserve">   </w:t>
      </w:r>
    </w:p>
    <w:p w14:paraId="5A155926">
      <w:pPr>
        <w:spacing w:line="360" w:lineRule="auto"/>
        <w:ind w:firstLine="562" w:firstLineChars="2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参与调查供应商的基本信息</w:t>
      </w:r>
    </w:p>
    <w:p w14:paraId="1FD98EF3">
      <w:pPr>
        <w:spacing w:line="360" w:lineRule="auto"/>
        <w:ind w:firstLine="562" w:firstLineChars="200"/>
        <w:jc w:val="left"/>
        <w:rPr>
          <w:rFonts w:hint="eastAsia" w:ascii="宋体" w:hAnsi="宋体" w:eastAsia="宋体" w:cs="宋体"/>
          <w:b/>
          <w:bCs/>
          <w:color w:val="auto"/>
          <w:sz w:val="28"/>
          <w:szCs w:val="28"/>
          <w:highlight w:val="none"/>
        </w:rPr>
      </w:pPr>
    </w:p>
    <w:tbl>
      <w:tblPr>
        <w:tblStyle w:val="12"/>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160"/>
        <w:gridCol w:w="599"/>
        <w:gridCol w:w="1713"/>
        <w:gridCol w:w="200"/>
        <w:gridCol w:w="2140"/>
      </w:tblGrid>
      <w:tr w14:paraId="039C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48FA6493">
            <w:pPr>
              <w:spacing w:line="480" w:lineRule="exact"/>
              <w:jc w:val="center"/>
              <w:rPr>
                <w:rFonts w:hint="eastAsia" w:ascii="宋体" w:hAnsi="宋体" w:cs="宋体"/>
                <w:color w:val="auto"/>
                <w:sz w:val="24"/>
                <w:highlight w:val="none"/>
              </w:rPr>
            </w:pPr>
            <w:r>
              <w:rPr>
                <w:rFonts w:hint="eastAsia" w:ascii="宋体" w:hAnsi="宋体" w:cs="宋体"/>
                <w:color w:val="auto"/>
                <w:highlight w:val="none"/>
              </w:rPr>
              <w:t>供应商名称</w:t>
            </w:r>
          </w:p>
        </w:tc>
        <w:tc>
          <w:tcPr>
            <w:tcW w:w="2160" w:type="dxa"/>
            <w:tcBorders>
              <w:top w:val="single" w:color="auto" w:sz="4" w:space="0"/>
              <w:left w:val="single" w:color="auto" w:sz="4" w:space="0"/>
              <w:bottom w:val="single" w:color="auto" w:sz="4" w:space="0"/>
              <w:right w:val="single" w:color="auto" w:sz="4" w:space="0"/>
            </w:tcBorders>
            <w:noWrap/>
            <w:vAlign w:val="center"/>
          </w:tcPr>
          <w:p w14:paraId="563FCD42">
            <w:pPr>
              <w:spacing w:line="480" w:lineRule="exact"/>
              <w:rPr>
                <w:rFonts w:hint="eastAsia" w:ascii="宋体" w:hAnsi="宋体" w:cs="宋体"/>
                <w:color w:val="auto"/>
                <w:sz w:val="24"/>
                <w:highlight w:val="none"/>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6DB68056">
            <w:pPr>
              <w:spacing w:line="480" w:lineRule="exact"/>
              <w:jc w:val="center"/>
              <w:rPr>
                <w:rFonts w:hint="eastAsia" w:ascii="宋体" w:hAnsi="宋体" w:cs="宋体"/>
                <w:color w:val="auto"/>
                <w:sz w:val="24"/>
                <w:highlight w:val="none"/>
              </w:rPr>
            </w:pPr>
            <w:r>
              <w:rPr>
                <w:rFonts w:hint="eastAsia" w:ascii="宋体" w:hAnsi="宋体" w:cs="宋体"/>
                <w:color w:val="auto"/>
                <w:highlight w:val="none"/>
              </w:rPr>
              <w:t>成立日期</w:t>
            </w:r>
          </w:p>
        </w:tc>
        <w:tc>
          <w:tcPr>
            <w:tcW w:w="2140" w:type="dxa"/>
            <w:tcBorders>
              <w:top w:val="single" w:color="auto" w:sz="4" w:space="0"/>
              <w:left w:val="single" w:color="auto" w:sz="4" w:space="0"/>
              <w:bottom w:val="single" w:color="auto" w:sz="4" w:space="0"/>
              <w:right w:val="single" w:color="auto" w:sz="4" w:space="0"/>
            </w:tcBorders>
            <w:noWrap/>
            <w:vAlign w:val="center"/>
          </w:tcPr>
          <w:p w14:paraId="2469A8C1">
            <w:pPr>
              <w:spacing w:line="480" w:lineRule="exact"/>
              <w:rPr>
                <w:rFonts w:hint="eastAsia" w:ascii="宋体" w:hAnsi="宋体" w:cs="宋体"/>
                <w:color w:val="auto"/>
                <w:sz w:val="24"/>
                <w:highlight w:val="none"/>
              </w:rPr>
            </w:pPr>
          </w:p>
        </w:tc>
      </w:tr>
      <w:tr w14:paraId="1326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48" w:type="dxa"/>
            <w:gridSpan w:val="2"/>
            <w:tcBorders>
              <w:top w:val="single" w:color="auto" w:sz="4" w:space="0"/>
              <w:left w:val="single" w:color="auto" w:sz="4" w:space="0"/>
              <w:bottom w:val="single" w:color="auto" w:sz="4" w:space="0"/>
              <w:right w:val="single" w:color="auto" w:sz="4" w:space="0"/>
            </w:tcBorders>
            <w:noWrap/>
            <w:vAlign w:val="center"/>
          </w:tcPr>
          <w:p w14:paraId="2997FCD0">
            <w:pPr>
              <w:spacing w:line="480" w:lineRule="exact"/>
              <w:jc w:val="center"/>
              <w:rPr>
                <w:rFonts w:hint="eastAsia" w:ascii="宋体" w:hAnsi="宋体" w:cs="宋体"/>
                <w:color w:val="auto"/>
                <w:sz w:val="24"/>
                <w:highlight w:val="none"/>
              </w:rPr>
            </w:pPr>
            <w:r>
              <w:rPr>
                <w:rFonts w:hint="eastAsia" w:ascii="宋体" w:hAnsi="宋体" w:cs="宋体"/>
                <w:color w:val="auto"/>
                <w:sz w:val="24"/>
                <w:highlight w:val="none"/>
              </w:rPr>
              <w:t>企业</w:t>
            </w:r>
            <w:r>
              <w:rPr>
                <w:rFonts w:hint="eastAsia" w:ascii="宋体" w:hAnsi="宋体" w:cs="宋体"/>
                <w:color w:val="auto"/>
                <w:highlight w:val="none"/>
              </w:rPr>
              <w:t>统一社会信用代码</w:t>
            </w:r>
          </w:p>
        </w:tc>
        <w:tc>
          <w:tcPr>
            <w:tcW w:w="4652" w:type="dxa"/>
            <w:gridSpan w:val="4"/>
            <w:tcBorders>
              <w:top w:val="single" w:color="auto" w:sz="4" w:space="0"/>
              <w:left w:val="single" w:color="auto" w:sz="4" w:space="0"/>
              <w:bottom w:val="single" w:color="auto" w:sz="4" w:space="0"/>
              <w:right w:val="single" w:color="auto" w:sz="4" w:space="0"/>
            </w:tcBorders>
            <w:noWrap/>
            <w:vAlign w:val="center"/>
          </w:tcPr>
          <w:p w14:paraId="12519298">
            <w:pPr>
              <w:spacing w:line="480" w:lineRule="exact"/>
              <w:jc w:val="center"/>
              <w:rPr>
                <w:rFonts w:hint="eastAsia" w:ascii="宋体" w:hAnsi="宋体" w:cs="宋体"/>
                <w:color w:val="auto"/>
                <w:sz w:val="24"/>
                <w:highlight w:val="none"/>
              </w:rPr>
            </w:pPr>
          </w:p>
        </w:tc>
      </w:tr>
      <w:tr w14:paraId="77A0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8E388EF">
            <w:pPr>
              <w:spacing w:line="480" w:lineRule="exact"/>
              <w:jc w:val="center"/>
              <w:rPr>
                <w:rFonts w:hint="eastAsia" w:ascii="宋体" w:hAnsi="宋体" w:cs="宋体"/>
                <w:color w:val="auto"/>
                <w:sz w:val="24"/>
                <w:highlight w:val="none"/>
              </w:rPr>
            </w:pPr>
            <w:r>
              <w:rPr>
                <w:rFonts w:hint="eastAsia" w:ascii="宋体" w:hAnsi="宋体" w:cs="宋体"/>
                <w:color w:val="auto"/>
                <w:highlight w:val="none"/>
              </w:rPr>
              <w:t>注册资本</w:t>
            </w:r>
          </w:p>
        </w:tc>
        <w:tc>
          <w:tcPr>
            <w:tcW w:w="2160" w:type="dxa"/>
            <w:tcBorders>
              <w:top w:val="single" w:color="auto" w:sz="4" w:space="0"/>
              <w:left w:val="single" w:color="auto" w:sz="4" w:space="0"/>
              <w:bottom w:val="single" w:color="auto" w:sz="4" w:space="0"/>
              <w:right w:val="single" w:color="auto" w:sz="4" w:space="0"/>
            </w:tcBorders>
            <w:noWrap/>
            <w:vAlign w:val="center"/>
          </w:tcPr>
          <w:p w14:paraId="48D1535B">
            <w:pPr>
              <w:spacing w:line="480" w:lineRule="exact"/>
              <w:rPr>
                <w:rFonts w:hint="eastAsia" w:ascii="宋体" w:hAnsi="宋体" w:cs="宋体"/>
                <w:color w:val="auto"/>
                <w:sz w:val="24"/>
                <w:highlight w:val="none"/>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10B1D520">
            <w:pPr>
              <w:spacing w:line="480" w:lineRule="exact"/>
              <w:jc w:val="center"/>
              <w:rPr>
                <w:rFonts w:hint="eastAsia" w:ascii="宋体" w:hAnsi="宋体" w:cs="宋体"/>
                <w:color w:val="auto"/>
                <w:sz w:val="24"/>
                <w:highlight w:val="none"/>
              </w:rPr>
            </w:pPr>
            <w:r>
              <w:rPr>
                <w:rFonts w:hint="eastAsia" w:ascii="宋体" w:hAnsi="宋体" w:cs="宋体"/>
                <w:color w:val="auto"/>
                <w:highlight w:val="none"/>
              </w:rPr>
              <w:t>企业类型</w:t>
            </w:r>
          </w:p>
        </w:tc>
        <w:tc>
          <w:tcPr>
            <w:tcW w:w="2140" w:type="dxa"/>
            <w:tcBorders>
              <w:top w:val="single" w:color="auto" w:sz="4" w:space="0"/>
              <w:left w:val="single" w:color="auto" w:sz="4" w:space="0"/>
              <w:bottom w:val="single" w:color="auto" w:sz="4" w:space="0"/>
              <w:right w:val="single" w:color="auto" w:sz="4" w:space="0"/>
            </w:tcBorders>
            <w:noWrap/>
            <w:vAlign w:val="center"/>
          </w:tcPr>
          <w:p w14:paraId="6341A0AF">
            <w:pPr>
              <w:spacing w:line="480" w:lineRule="exact"/>
              <w:rPr>
                <w:rFonts w:hint="eastAsia" w:ascii="宋体" w:hAnsi="宋体" w:cs="宋体"/>
                <w:color w:val="auto"/>
                <w:sz w:val="24"/>
                <w:highlight w:val="none"/>
              </w:rPr>
            </w:pPr>
          </w:p>
        </w:tc>
      </w:tr>
      <w:tr w14:paraId="27C5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234ED1F0">
            <w:pPr>
              <w:spacing w:line="480" w:lineRule="exact"/>
              <w:jc w:val="center"/>
              <w:rPr>
                <w:rFonts w:hint="eastAsia" w:ascii="宋体" w:hAnsi="宋体" w:cs="宋体"/>
                <w:color w:val="auto"/>
                <w:sz w:val="24"/>
                <w:highlight w:val="none"/>
              </w:rPr>
            </w:pPr>
            <w:r>
              <w:rPr>
                <w:rFonts w:hint="eastAsia" w:ascii="宋体" w:hAnsi="宋体" w:cs="宋体"/>
                <w:color w:val="auto"/>
                <w:highlight w:val="none"/>
              </w:rPr>
              <w:t>批准登记机关</w:t>
            </w:r>
          </w:p>
        </w:tc>
        <w:tc>
          <w:tcPr>
            <w:tcW w:w="2160" w:type="dxa"/>
            <w:tcBorders>
              <w:top w:val="single" w:color="auto" w:sz="4" w:space="0"/>
              <w:left w:val="single" w:color="auto" w:sz="4" w:space="0"/>
              <w:bottom w:val="single" w:color="auto" w:sz="4" w:space="0"/>
              <w:right w:val="single" w:color="auto" w:sz="4" w:space="0"/>
            </w:tcBorders>
            <w:noWrap/>
            <w:vAlign w:val="center"/>
          </w:tcPr>
          <w:p w14:paraId="094392CD">
            <w:pPr>
              <w:spacing w:line="480" w:lineRule="exact"/>
              <w:rPr>
                <w:rFonts w:hint="eastAsia" w:ascii="宋体" w:hAnsi="宋体" w:cs="宋体"/>
                <w:color w:val="auto"/>
                <w:sz w:val="24"/>
                <w:highlight w:val="none"/>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4C466606">
            <w:pPr>
              <w:spacing w:line="480" w:lineRule="exact"/>
              <w:jc w:val="center"/>
              <w:rPr>
                <w:rFonts w:hint="eastAsia" w:ascii="宋体" w:hAnsi="宋体" w:cs="宋体"/>
                <w:color w:val="auto"/>
                <w:sz w:val="24"/>
                <w:highlight w:val="none"/>
              </w:rPr>
            </w:pPr>
            <w:r>
              <w:rPr>
                <w:rFonts w:hint="eastAsia" w:ascii="宋体" w:hAnsi="宋体" w:cs="宋体"/>
                <w:color w:val="auto"/>
                <w:highlight w:val="none"/>
              </w:rPr>
              <w:t>企业属性</w:t>
            </w:r>
          </w:p>
        </w:tc>
        <w:tc>
          <w:tcPr>
            <w:tcW w:w="2140" w:type="dxa"/>
            <w:tcBorders>
              <w:top w:val="single" w:color="auto" w:sz="4" w:space="0"/>
              <w:left w:val="single" w:color="auto" w:sz="4" w:space="0"/>
              <w:bottom w:val="single" w:color="auto" w:sz="4" w:space="0"/>
              <w:right w:val="single" w:color="auto" w:sz="4" w:space="0"/>
            </w:tcBorders>
            <w:noWrap/>
            <w:vAlign w:val="center"/>
          </w:tcPr>
          <w:p w14:paraId="0640CC63">
            <w:pPr>
              <w:spacing w:line="480" w:lineRule="exact"/>
              <w:rPr>
                <w:rFonts w:hint="eastAsia" w:ascii="宋体" w:hAnsi="宋体" w:cs="宋体"/>
                <w:color w:val="auto"/>
                <w:sz w:val="24"/>
                <w:highlight w:val="none"/>
              </w:rPr>
            </w:pPr>
            <w:r>
              <w:rPr>
                <w:rFonts w:hint="eastAsia" w:ascii="宋体" w:hAnsi="宋体" w:cs="宋体"/>
                <w:color w:val="auto"/>
                <w:szCs w:val="21"/>
                <w:highlight w:val="none"/>
              </w:rPr>
              <w:t>大/中/小/微型企业</w:t>
            </w:r>
          </w:p>
        </w:tc>
      </w:tr>
      <w:tr w14:paraId="4BD5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66DFF527">
            <w:pPr>
              <w:spacing w:line="480" w:lineRule="exact"/>
              <w:jc w:val="center"/>
              <w:rPr>
                <w:rFonts w:hint="eastAsia" w:ascii="宋体" w:hAnsi="宋体" w:cs="宋体"/>
                <w:color w:val="auto"/>
                <w:sz w:val="24"/>
                <w:highlight w:val="none"/>
              </w:rPr>
            </w:pPr>
            <w:r>
              <w:rPr>
                <w:rFonts w:hint="eastAsia" w:ascii="宋体" w:hAnsi="宋体" w:cs="宋体"/>
                <w:color w:val="auto"/>
                <w:highlight w:val="none"/>
              </w:rPr>
              <w:t>法定代表人</w:t>
            </w:r>
          </w:p>
        </w:tc>
        <w:tc>
          <w:tcPr>
            <w:tcW w:w="2160" w:type="dxa"/>
            <w:tcBorders>
              <w:top w:val="single" w:color="auto" w:sz="4" w:space="0"/>
              <w:left w:val="single" w:color="auto" w:sz="4" w:space="0"/>
              <w:bottom w:val="single" w:color="auto" w:sz="4" w:space="0"/>
              <w:right w:val="single" w:color="auto" w:sz="4" w:space="0"/>
            </w:tcBorders>
            <w:noWrap/>
            <w:vAlign w:val="center"/>
          </w:tcPr>
          <w:p w14:paraId="3D59F30B">
            <w:pPr>
              <w:spacing w:line="480" w:lineRule="exact"/>
              <w:rPr>
                <w:rFonts w:hint="eastAsia" w:ascii="宋体" w:hAnsi="宋体" w:cs="宋体"/>
                <w:color w:val="auto"/>
                <w:sz w:val="24"/>
                <w:highlight w:val="none"/>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552AC89B">
            <w:pPr>
              <w:spacing w:line="480" w:lineRule="exact"/>
              <w:jc w:val="center"/>
              <w:rPr>
                <w:rFonts w:hint="eastAsia" w:ascii="宋体" w:hAnsi="宋体" w:cs="宋体"/>
                <w:color w:val="auto"/>
                <w:sz w:val="24"/>
                <w:highlight w:val="none"/>
              </w:rPr>
            </w:pPr>
            <w:r>
              <w:rPr>
                <w:rFonts w:hint="eastAsia" w:ascii="宋体" w:hAnsi="宋体" w:cs="宋体"/>
                <w:color w:val="auto"/>
                <w:highlight w:val="none"/>
              </w:rPr>
              <w:t>营业期限</w:t>
            </w:r>
          </w:p>
        </w:tc>
        <w:tc>
          <w:tcPr>
            <w:tcW w:w="2140" w:type="dxa"/>
            <w:tcBorders>
              <w:top w:val="single" w:color="auto" w:sz="4" w:space="0"/>
              <w:left w:val="single" w:color="auto" w:sz="4" w:space="0"/>
              <w:bottom w:val="single" w:color="auto" w:sz="4" w:space="0"/>
              <w:right w:val="single" w:color="auto" w:sz="4" w:space="0"/>
            </w:tcBorders>
            <w:noWrap/>
            <w:vAlign w:val="center"/>
          </w:tcPr>
          <w:p w14:paraId="0BDEA1F0">
            <w:pPr>
              <w:spacing w:line="480" w:lineRule="exact"/>
              <w:rPr>
                <w:rFonts w:hint="eastAsia" w:ascii="宋体" w:hAnsi="宋体" w:cs="宋体"/>
                <w:color w:val="auto"/>
                <w:sz w:val="24"/>
                <w:highlight w:val="none"/>
              </w:rPr>
            </w:pPr>
          </w:p>
        </w:tc>
      </w:tr>
      <w:tr w14:paraId="1BDA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4432AB90">
            <w:pPr>
              <w:spacing w:line="480" w:lineRule="exact"/>
              <w:jc w:val="center"/>
              <w:rPr>
                <w:rFonts w:hint="eastAsia" w:ascii="宋体" w:hAnsi="宋体" w:cs="宋体"/>
                <w:color w:val="auto"/>
                <w:sz w:val="24"/>
                <w:highlight w:val="none"/>
              </w:rPr>
            </w:pPr>
            <w:r>
              <w:rPr>
                <w:rFonts w:hint="eastAsia" w:ascii="宋体" w:hAnsi="宋体" w:cs="宋体"/>
                <w:color w:val="auto"/>
                <w:highlight w:val="none"/>
              </w:rPr>
              <w:t>主营业务</w:t>
            </w:r>
          </w:p>
        </w:tc>
        <w:tc>
          <w:tcPr>
            <w:tcW w:w="6812" w:type="dxa"/>
            <w:gridSpan w:val="5"/>
            <w:tcBorders>
              <w:top w:val="single" w:color="auto" w:sz="4" w:space="0"/>
              <w:left w:val="single" w:color="auto" w:sz="4" w:space="0"/>
              <w:bottom w:val="single" w:color="auto" w:sz="4" w:space="0"/>
              <w:right w:val="single" w:color="auto" w:sz="4" w:space="0"/>
            </w:tcBorders>
            <w:noWrap/>
            <w:vAlign w:val="center"/>
          </w:tcPr>
          <w:p w14:paraId="39E1454B">
            <w:pPr>
              <w:spacing w:line="480" w:lineRule="exact"/>
              <w:rPr>
                <w:rFonts w:hint="eastAsia" w:ascii="宋体" w:hAnsi="宋体" w:cs="宋体"/>
                <w:color w:val="auto"/>
                <w:sz w:val="24"/>
                <w:highlight w:val="none"/>
              </w:rPr>
            </w:pPr>
          </w:p>
        </w:tc>
      </w:tr>
      <w:tr w14:paraId="0F57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0244F9B6">
            <w:pPr>
              <w:spacing w:line="480" w:lineRule="exact"/>
              <w:jc w:val="center"/>
              <w:rPr>
                <w:rFonts w:hint="eastAsia" w:ascii="宋体" w:hAnsi="宋体" w:cs="宋体"/>
                <w:color w:val="auto"/>
                <w:sz w:val="24"/>
                <w:highlight w:val="none"/>
              </w:rPr>
            </w:pPr>
            <w:r>
              <w:rPr>
                <w:rFonts w:hint="eastAsia" w:ascii="宋体" w:hAnsi="宋体" w:cs="宋体"/>
                <w:color w:val="auto"/>
                <w:highlight w:val="none"/>
              </w:rPr>
              <w:t>地  址</w:t>
            </w:r>
          </w:p>
        </w:tc>
        <w:tc>
          <w:tcPr>
            <w:tcW w:w="6812" w:type="dxa"/>
            <w:gridSpan w:val="5"/>
            <w:tcBorders>
              <w:top w:val="single" w:color="auto" w:sz="4" w:space="0"/>
              <w:left w:val="single" w:color="auto" w:sz="4" w:space="0"/>
              <w:bottom w:val="single" w:color="auto" w:sz="4" w:space="0"/>
              <w:right w:val="single" w:color="auto" w:sz="4" w:space="0"/>
            </w:tcBorders>
            <w:noWrap/>
            <w:vAlign w:val="center"/>
          </w:tcPr>
          <w:p w14:paraId="1F4DAF1C">
            <w:pPr>
              <w:spacing w:line="480" w:lineRule="exact"/>
              <w:rPr>
                <w:rFonts w:hint="eastAsia" w:ascii="宋体" w:hAnsi="宋体" w:cs="宋体"/>
                <w:color w:val="auto"/>
                <w:sz w:val="24"/>
                <w:highlight w:val="none"/>
              </w:rPr>
            </w:pPr>
          </w:p>
        </w:tc>
      </w:tr>
      <w:tr w14:paraId="42C5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5417F4E9">
            <w:pPr>
              <w:spacing w:line="480" w:lineRule="exact"/>
              <w:jc w:val="center"/>
              <w:rPr>
                <w:rFonts w:hint="eastAsia" w:ascii="宋体" w:hAnsi="宋体" w:cs="宋体"/>
                <w:color w:val="auto"/>
                <w:sz w:val="24"/>
                <w:highlight w:val="none"/>
              </w:rPr>
            </w:pPr>
            <w:r>
              <w:rPr>
                <w:rFonts w:hint="eastAsia" w:ascii="宋体" w:hAnsi="宋体" w:cs="宋体"/>
                <w:color w:val="auto"/>
                <w:highlight w:val="none"/>
              </w:rPr>
              <w:t>电  话</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4B46EB82">
            <w:pPr>
              <w:spacing w:line="480" w:lineRule="exact"/>
              <w:rPr>
                <w:rFonts w:hint="eastAsia" w:ascii="宋体" w:hAnsi="宋体" w:cs="宋体"/>
                <w:color w:val="auto"/>
                <w:sz w:val="24"/>
                <w:highlight w:val="none"/>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0476D130">
            <w:pPr>
              <w:spacing w:line="480" w:lineRule="exact"/>
              <w:jc w:val="center"/>
              <w:rPr>
                <w:rFonts w:hint="eastAsia" w:ascii="宋体" w:hAnsi="宋体" w:cs="宋体"/>
                <w:color w:val="auto"/>
                <w:sz w:val="24"/>
                <w:highlight w:val="none"/>
              </w:rPr>
            </w:pPr>
            <w:r>
              <w:rPr>
                <w:rFonts w:hint="eastAsia" w:ascii="宋体" w:hAnsi="宋体" w:cs="宋体"/>
                <w:color w:val="auto"/>
                <w:highlight w:val="none"/>
              </w:rPr>
              <w:t>传  真</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25C19620">
            <w:pPr>
              <w:spacing w:line="480" w:lineRule="exact"/>
              <w:rPr>
                <w:rFonts w:hint="eastAsia" w:ascii="宋体" w:hAnsi="宋体" w:cs="宋体"/>
                <w:color w:val="auto"/>
                <w:sz w:val="24"/>
                <w:highlight w:val="none"/>
              </w:rPr>
            </w:pPr>
          </w:p>
        </w:tc>
      </w:tr>
      <w:tr w14:paraId="3210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7B5B9F8C">
            <w:pPr>
              <w:spacing w:line="480" w:lineRule="exact"/>
              <w:jc w:val="center"/>
              <w:rPr>
                <w:rFonts w:hint="eastAsia" w:ascii="宋体" w:hAnsi="宋体" w:cs="宋体"/>
                <w:color w:val="auto"/>
                <w:sz w:val="24"/>
                <w:highlight w:val="none"/>
              </w:rPr>
            </w:pPr>
            <w:r>
              <w:rPr>
                <w:rFonts w:hint="eastAsia" w:ascii="宋体" w:hAnsi="宋体" w:cs="宋体"/>
                <w:color w:val="auto"/>
                <w:highlight w:val="none"/>
              </w:rPr>
              <w:t>邮  箱</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6E1D84C6">
            <w:pPr>
              <w:spacing w:line="480" w:lineRule="exact"/>
              <w:rPr>
                <w:rFonts w:hint="eastAsia" w:ascii="宋体" w:hAnsi="宋体" w:cs="宋体"/>
                <w:color w:val="auto"/>
                <w:sz w:val="24"/>
                <w:highlight w:val="none"/>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4B535132">
            <w:pPr>
              <w:spacing w:line="480" w:lineRule="exact"/>
              <w:jc w:val="center"/>
              <w:rPr>
                <w:rFonts w:hint="eastAsia" w:ascii="宋体" w:hAnsi="宋体" w:cs="宋体"/>
                <w:color w:val="auto"/>
                <w:sz w:val="24"/>
                <w:highlight w:val="none"/>
              </w:rPr>
            </w:pPr>
            <w:r>
              <w:rPr>
                <w:rFonts w:hint="eastAsia" w:ascii="宋体" w:hAnsi="宋体" w:cs="宋体"/>
                <w:color w:val="auto"/>
                <w:highlight w:val="none"/>
              </w:rPr>
              <w:t>邮  编</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51B81DE4">
            <w:pPr>
              <w:spacing w:line="480" w:lineRule="exact"/>
              <w:rPr>
                <w:rFonts w:hint="eastAsia" w:ascii="宋体" w:hAnsi="宋体" w:cs="宋体"/>
                <w:color w:val="auto"/>
                <w:sz w:val="24"/>
                <w:highlight w:val="none"/>
              </w:rPr>
            </w:pPr>
          </w:p>
        </w:tc>
      </w:tr>
      <w:tr w14:paraId="03A0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527B3505">
            <w:pPr>
              <w:spacing w:line="480" w:lineRule="exact"/>
              <w:jc w:val="center"/>
              <w:rPr>
                <w:rFonts w:hint="eastAsia" w:ascii="宋体" w:hAnsi="宋体" w:cs="宋体"/>
                <w:color w:val="auto"/>
                <w:sz w:val="24"/>
                <w:highlight w:val="none"/>
              </w:rPr>
            </w:pPr>
            <w:r>
              <w:rPr>
                <w:rFonts w:hint="eastAsia" w:ascii="宋体" w:hAnsi="宋体" w:cs="宋体"/>
                <w:color w:val="auto"/>
                <w:highlight w:val="none"/>
              </w:rPr>
              <w:t>联系人</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59B57ADA">
            <w:pPr>
              <w:spacing w:line="480" w:lineRule="exact"/>
              <w:rPr>
                <w:rFonts w:hint="eastAsia" w:ascii="宋体" w:hAnsi="宋体" w:cs="宋体"/>
                <w:color w:val="auto"/>
                <w:sz w:val="24"/>
                <w:highlight w:val="none"/>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01A19FAF">
            <w:pPr>
              <w:spacing w:line="480" w:lineRule="exact"/>
              <w:jc w:val="center"/>
              <w:rPr>
                <w:rFonts w:hint="eastAsia" w:ascii="宋体" w:hAnsi="宋体" w:cs="宋体"/>
                <w:color w:val="auto"/>
                <w:sz w:val="24"/>
                <w:highlight w:val="none"/>
              </w:rPr>
            </w:pPr>
            <w:r>
              <w:rPr>
                <w:rFonts w:hint="eastAsia" w:ascii="宋体" w:hAnsi="宋体" w:cs="宋体"/>
                <w:color w:val="auto"/>
                <w:highlight w:val="none"/>
              </w:rPr>
              <w:t>联系方式</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1949CB96">
            <w:pPr>
              <w:spacing w:line="480" w:lineRule="exact"/>
              <w:rPr>
                <w:rFonts w:hint="eastAsia" w:ascii="宋体" w:hAnsi="宋体" w:cs="宋体"/>
                <w:color w:val="auto"/>
                <w:sz w:val="24"/>
                <w:highlight w:val="none"/>
              </w:rPr>
            </w:pPr>
          </w:p>
        </w:tc>
      </w:tr>
    </w:tbl>
    <w:p w14:paraId="5B659934">
      <w:pPr>
        <w:spacing w:line="360" w:lineRule="auto"/>
        <w:ind w:firstLine="840" w:firstLineChars="300"/>
        <w:jc w:val="left"/>
        <w:rPr>
          <w:rFonts w:hint="eastAsia" w:ascii="宋体" w:hAnsi="宋体" w:eastAsia="宋体" w:cs="宋体"/>
          <w:i/>
          <w:iCs/>
          <w:color w:val="auto"/>
          <w:sz w:val="28"/>
          <w:szCs w:val="28"/>
          <w:highlight w:val="none"/>
          <w:u w:val="single"/>
        </w:rPr>
      </w:pPr>
    </w:p>
    <w:p w14:paraId="7A028E87">
      <w:pPr>
        <w:spacing w:line="360" w:lineRule="auto"/>
        <w:ind w:firstLine="840" w:firstLineChars="300"/>
        <w:jc w:val="left"/>
        <w:rPr>
          <w:rFonts w:hint="eastAsia" w:ascii="宋体" w:hAnsi="宋体" w:eastAsia="宋体" w:cs="宋体"/>
          <w:i/>
          <w:iCs/>
          <w:color w:val="auto"/>
          <w:sz w:val="28"/>
          <w:szCs w:val="28"/>
          <w:highlight w:val="none"/>
          <w:u w:val="single"/>
        </w:rPr>
      </w:pPr>
    </w:p>
    <w:p w14:paraId="14290D66">
      <w:pPr>
        <w:pStyle w:val="20"/>
        <w:spacing w:line="600" w:lineRule="exact"/>
        <w:ind w:left="6240" w:hanging="6240" w:hangingChars="2600"/>
        <w:jc w:val="both"/>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公司名称（盖章）：</w:t>
      </w:r>
      <w:r>
        <w:rPr>
          <w:rFonts w:hint="eastAsia" w:ascii="宋体" w:hAnsi="宋体" w:eastAsia="宋体" w:cs="宋体"/>
          <w:bCs w:val="0"/>
          <w:color w:val="auto"/>
          <w:kern w:val="2"/>
          <w:sz w:val="24"/>
          <w:szCs w:val="24"/>
          <w:highlight w:val="none"/>
          <w:u w:val="single"/>
        </w:rPr>
        <w:t xml:space="preserve">                               </w:t>
      </w:r>
    </w:p>
    <w:p w14:paraId="626C7028">
      <w:pPr>
        <w:pStyle w:val="20"/>
        <w:spacing w:line="600" w:lineRule="exact"/>
        <w:jc w:val="both"/>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联系人姓名：</w:t>
      </w:r>
      <w:r>
        <w:rPr>
          <w:rFonts w:hint="eastAsia" w:ascii="宋体" w:hAnsi="宋体" w:eastAsia="宋体" w:cs="宋体"/>
          <w:bCs w:val="0"/>
          <w:color w:val="auto"/>
          <w:kern w:val="2"/>
          <w:sz w:val="24"/>
          <w:szCs w:val="24"/>
          <w:highlight w:val="none"/>
          <w:u w:val="single"/>
        </w:rPr>
        <w:t xml:space="preserve">                                     </w:t>
      </w:r>
    </w:p>
    <w:p w14:paraId="2A2C03A4">
      <w:pPr>
        <w:pStyle w:val="20"/>
        <w:spacing w:line="600" w:lineRule="exact"/>
        <w:jc w:val="both"/>
        <w:rPr>
          <w:rFonts w:hint="eastAsia" w:ascii="宋体" w:hAnsi="宋体" w:eastAsia="宋体" w:cs="宋体"/>
          <w:bCs w:val="0"/>
          <w:color w:val="auto"/>
          <w:kern w:val="2"/>
          <w:sz w:val="24"/>
          <w:szCs w:val="24"/>
          <w:highlight w:val="none"/>
          <w:u w:val="single"/>
        </w:rPr>
      </w:pPr>
      <w:r>
        <w:rPr>
          <w:rFonts w:hint="eastAsia" w:ascii="宋体" w:hAnsi="宋体" w:eastAsia="宋体" w:cs="宋体"/>
          <w:bCs w:val="0"/>
          <w:color w:val="auto"/>
          <w:kern w:val="2"/>
          <w:sz w:val="24"/>
          <w:szCs w:val="24"/>
          <w:highlight w:val="none"/>
        </w:rPr>
        <w:t>联系人电话：</w:t>
      </w:r>
      <w:r>
        <w:rPr>
          <w:rFonts w:hint="eastAsia" w:ascii="宋体" w:hAnsi="宋体" w:eastAsia="宋体" w:cs="宋体"/>
          <w:bCs w:val="0"/>
          <w:color w:val="auto"/>
          <w:kern w:val="2"/>
          <w:sz w:val="24"/>
          <w:szCs w:val="24"/>
          <w:highlight w:val="none"/>
          <w:u w:val="single"/>
        </w:rPr>
        <w:t xml:space="preserve">                                     </w:t>
      </w:r>
    </w:p>
    <w:p w14:paraId="3FF1FB25">
      <w:pPr>
        <w:pStyle w:val="20"/>
        <w:spacing w:line="600" w:lineRule="exact"/>
        <w:jc w:val="both"/>
        <w:rPr>
          <w:rFonts w:hint="eastAsia" w:ascii="宋体" w:hAnsi="宋体" w:eastAsia="宋体" w:cs="宋体"/>
          <w:bCs w:val="0"/>
          <w:color w:val="auto"/>
          <w:kern w:val="2"/>
          <w:sz w:val="24"/>
          <w:szCs w:val="24"/>
          <w:highlight w:val="none"/>
          <w:u w:val="single"/>
        </w:rPr>
      </w:pPr>
      <w:r>
        <w:rPr>
          <w:rFonts w:hint="eastAsia" w:ascii="宋体" w:hAnsi="宋体" w:eastAsia="宋体" w:cs="宋体"/>
          <w:bCs w:val="0"/>
          <w:color w:val="auto"/>
          <w:kern w:val="2"/>
          <w:sz w:val="24"/>
          <w:szCs w:val="24"/>
          <w:highlight w:val="none"/>
        </w:rPr>
        <w:t>联系人邮箱：</w:t>
      </w:r>
      <w:r>
        <w:rPr>
          <w:rFonts w:hint="eastAsia" w:ascii="宋体" w:hAnsi="宋体" w:eastAsia="宋体" w:cs="宋体"/>
          <w:bCs w:val="0"/>
          <w:color w:val="auto"/>
          <w:kern w:val="2"/>
          <w:sz w:val="24"/>
          <w:szCs w:val="24"/>
          <w:highlight w:val="none"/>
          <w:u w:val="single"/>
        </w:rPr>
        <w:t xml:space="preserve">                                     </w:t>
      </w:r>
    </w:p>
    <w:p w14:paraId="44CB3240">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r>
        <w:rPr>
          <w:rFonts w:hint="eastAsia" w:ascii="宋体" w:hAnsi="宋体" w:eastAsia="宋体" w:cs="宋体"/>
          <w:color w:val="auto"/>
          <w:sz w:val="24"/>
          <w:highlight w:val="none"/>
          <w:u w:val="single"/>
        </w:rPr>
        <w:t xml:space="preserve">                                          </w:t>
      </w:r>
    </w:p>
    <w:p w14:paraId="61C97DB1">
      <w:pPr>
        <w:spacing w:line="520" w:lineRule="exact"/>
        <w:rPr>
          <w:rFonts w:hint="eastAsia" w:ascii="宋体" w:hAnsi="宋体" w:eastAsia="宋体" w:cs="宋体"/>
          <w:color w:val="auto"/>
          <w:kern w:val="0"/>
          <w:sz w:val="24"/>
          <w:highlight w:val="none"/>
          <w:shd w:val="clear" w:color="auto" w:fill="FFFFFF"/>
          <w:lang w:bidi="ar"/>
        </w:rPr>
      </w:pPr>
    </w:p>
    <w:p w14:paraId="7E93FDD5">
      <w:pPr>
        <w:spacing w:line="520" w:lineRule="exact"/>
        <w:rPr>
          <w:rFonts w:hint="eastAsia" w:ascii="宋体" w:hAnsi="宋体" w:eastAsia="宋体" w:cs="宋体"/>
          <w:color w:val="auto"/>
          <w:kern w:val="0"/>
          <w:sz w:val="24"/>
          <w:highlight w:val="none"/>
          <w:shd w:val="clear" w:color="auto" w:fill="FFFFFF"/>
          <w:lang w:bidi="ar"/>
        </w:rPr>
      </w:pPr>
    </w:p>
    <w:p w14:paraId="76C14B77">
      <w:pPr>
        <w:widowControl/>
        <w:spacing w:line="560" w:lineRule="exact"/>
        <w:ind w:firstLine="482" w:firstLineChars="200"/>
        <w:jc w:val="left"/>
        <w:rPr>
          <w:rFonts w:hint="eastAsia" w:ascii="宋体" w:hAnsi="宋体" w:eastAsia="宋体" w:cs="宋体"/>
          <w:b/>
          <w:bCs/>
          <w:color w:val="auto"/>
          <w:kern w:val="0"/>
          <w:sz w:val="24"/>
          <w:highlight w:val="none"/>
          <w:shd w:val="clear" w:color="auto" w:fill="FFFFFF"/>
          <w:lang w:bidi="ar"/>
        </w:rPr>
        <w:sectPr>
          <w:pgSz w:w="11906" w:h="16838"/>
          <w:pgMar w:top="1440" w:right="1800" w:bottom="1440" w:left="1800" w:header="851" w:footer="992" w:gutter="0"/>
          <w:cols w:space="425" w:num="1"/>
          <w:docGrid w:type="lines" w:linePitch="312" w:charSpace="0"/>
        </w:sectPr>
      </w:pPr>
    </w:p>
    <w:p w14:paraId="785FAE44">
      <w:pPr>
        <w:widowControl/>
        <w:spacing w:line="560" w:lineRule="exact"/>
        <w:ind w:firstLine="482" w:firstLineChars="200"/>
        <w:jc w:val="left"/>
        <w:rPr>
          <w:rFonts w:hint="eastAsia" w:ascii="宋体" w:hAnsi="宋体" w:eastAsia="宋体" w:cs="宋体"/>
          <w:b/>
          <w:bCs/>
          <w:color w:val="auto"/>
          <w:kern w:val="0"/>
          <w:sz w:val="24"/>
          <w:highlight w:val="none"/>
          <w:shd w:val="clear" w:color="auto" w:fill="FFFFFF"/>
          <w:lang w:bidi="ar"/>
        </w:rPr>
      </w:pPr>
      <w:r>
        <w:rPr>
          <w:rFonts w:hint="eastAsia" w:ascii="宋体" w:hAnsi="宋体" w:eastAsia="宋体" w:cs="宋体"/>
          <w:b/>
          <w:bCs/>
          <w:color w:val="auto"/>
          <w:kern w:val="0"/>
          <w:sz w:val="24"/>
          <w:highlight w:val="none"/>
          <w:shd w:val="clear" w:color="auto" w:fill="FFFFFF"/>
          <w:lang w:bidi="ar"/>
        </w:rPr>
        <w:t>附件5：</w:t>
      </w:r>
    </w:p>
    <w:p w14:paraId="0625535E">
      <w:pPr>
        <w:widowControl/>
        <w:spacing w:line="560" w:lineRule="exact"/>
        <w:ind w:firstLine="640" w:firstLineChars="200"/>
        <w:jc w:val="center"/>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需求调查回复函</w:t>
      </w:r>
    </w:p>
    <w:p w14:paraId="2577E642">
      <w:pPr>
        <w:pStyle w:val="5"/>
        <w:rPr>
          <w:rFonts w:hint="eastAsia" w:ascii="宋体" w:hAnsi="宋体" w:eastAsia="宋体" w:cs="宋体"/>
          <w:color w:val="auto"/>
          <w:highlight w:val="none"/>
          <w:lang w:val="en-US"/>
        </w:rPr>
      </w:pPr>
    </w:p>
    <w:p w14:paraId="259894FE">
      <w:pPr>
        <w:pStyle w:val="5"/>
        <w:rPr>
          <w:rFonts w:hint="eastAsia" w:ascii="宋体" w:hAnsi="宋体" w:eastAsia="宋体" w:cs="宋体"/>
          <w:color w:val="auto"/>
          <w:highlight w:val="none"/>
        </w:rPr>
      </w:pPr>
    </w:p>
    <w:p w14:paraId="6A947E64">
      <w:pPr>
        <w:widowControl/>
        <w:spacing w:after="156" w:afterLines="50" w:line="560" w:lineRule="exact"/>
        <w:jc w:val="left"/>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u w:val="single"/>
          <w:lang w:bidi="ar"/>
        </w:rPr>
        <w:t>广西中医药大学</w:t>
      </w:r>
      <w:r>
        <w:rPr>
          <w:rFonts w:hint="eastAsia" w:ascii="宋体" w:hAnsi="宋体" w:eastAsia="宋体" w:cs="宋体"/>
          <w:color w:val="auto"/>
          <w:kern w:val="0"/>
          <w:sz w:val="32"/>
          <w:szCs w:val="32"/>
          <w:highlight w:val="none"/>
          <w:lang w:bidi="ar"/>
        </w:rPr>
        <w:t>：</w:t>
      </w:r>
    </w:p>
    <w:p w14:paraId="631EA0DA">
      <w:pPr>
        <w:widowControl/>
        <w:spacing w:line="560" w:lineRule="exact"/>
        <w:ind w:firstLine="640" w:firstLineChars="200"/>
        <w:jc w:val="left"/>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根据贵单位发布的“</w:t>
      </w:r>
      <w:r>
        <w:rPr>
          <w:rFonts w:hint="eastAsia" w:ascii="宋体" w:hAnsi="宋体" w:eastAsia="宋体" w:cs="宋体"/>
          <w:color w:val="auto"/>
          <w:kern w:val="0"/>
          <w:sz w:val="32"/>
          <w:szCs w:val="32"/>
          <w:highlight w:val="none"/>
          <w:lang w:eastAsia="zh-CN" w:bidi="ar"/>
        </w:rPr>
        <w:t>招标采购管理系统</w:t>
      </w:r>
      <w:r>
        <w:rPr>
          <w:rFonts w:hint="eastAsia" w:ascii="宋体" w:hAnsi="宋体" w:eastAsia="宋体" w:cs="宋体"/>
          <w:color w:val="auto"/>
          <w:kern w:val="0"/>
          <w:sz w:val="32"/>
          <w:szCs w:val="32"/>
          <w:highlight w:val="none"/>
          <w:lang w:bidi="ar"/>
        </w:rPr>
        <w:t>建设需求市场调研公告”，我公司符合公告规定的资格条件，经我公司研究决定，我公司愿意参与该项目的需求调查，我公司承诺在本次调查中无其他不符合法律法规的行为。</w:t>
      </w:r>
    </w:p>
    <w:p w14:paraId="0EFE8375">
      <w:pPr>
        <w:pStyle w:val="5"/>
        <w:rPr>
          <w:rFonts w:hint="eastAsia" w:ascii="宋体" w:hAnsi="宋体" w:eastAsia="宋体" w:cs="宋体"/>
          <w:color w:val="auto"/>
          <w:highlight w:val="none"/>
        </w:rPr>
      </w:pPr>
    </w:p>
    <w:p w14:paraId="652EB3FF">
      <w:pPr>
        <w:widowControl/>
        <w:spacing w:line="560" w:lineRule="exact"/>
        <w:ind w:firstLine="640" w:firstLineChars="200"/>
        <w:jc w:val="left"/>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附：公司《营业执照》及相关资质证书复印件</w:t>
      </w:r>
    </w:p>
    <w:p w14:paraId="1DC88E2B">
      <w:pPr>
        <w:widowControl/>
        <w:spacing w:line="560" w:lineRule="exact"/>
        <w:ind w:firstLine="640" w:firstLineChars="200"/>
        <w:jc w:val="left"/>
        <w:rPr>
          <w:rFonts w:hint="eastAsia" w:ascii="宋体" w:hAnsi="宋体" w:eastAsia="宋体" w:cs="宋体"/>
          <w:color w:val="auto"/>
          <w:kern w:val="0"/>
          <w:sz w:val="32"/>
          <w:szCs w:val="32"/>
          <w:highlight w:val="none"/>
          <w:lang w:bidi="ar"/>
        </w:rPr>
      </w:pPr>
    </w:p>
    <w:p w14:paraId="69552C58">
      <w:pPr>
        <w:widowControl/>
        <w:spacing w:line="560" w:lineRule="exact"/>
        <w:ind w:firstLine="640" w:firstLineChars="200"/>
        <w:jc w:val="left"/>
        <w:rPr>
          <w:rFonts w:hint="eastAsia" w:ascii="宋体" w:hAnsi="宋体" w:eastAsia="宋体" w:cs="宋体"/>
          <w:color w:val="auto"/>
          <w:kern w:val="0"/>
          <w:sz w:val="32"/>
          <w:szCs w:val="32"/>
          <w:highlight w:val="none"/>
          <w:lang w:bidi="ar"/>
        </w:rPr>
      </w:pPr>
    </w:p>
    <w:p w14:paraId="6B22ACE8">
      <w:pPr>
        <w:widowControl/>
        <w:spacing w:line="560" w:lineRule="exact"/>
        <w:ind w:firstLine="640" w:firstLineChars="200"/>
        <w:jc w:val="left"/>
        <w:rPr>
          <w:rFonts w:hint="eastAsia" w:ascii="宋体" w:hAnsi="宋体" w:eastAsia="宋体" w:cs="宋体"/>
          <w:color w:val="auto"/>
          <w:kern w:val="0"/>
          <w:sz w:val="32"/>
          <w:szCs w:val="32"/>
          <w:highlight w:val="none"/>
          <w:lang w:bidi="ar"/>
        </w:rPr>
      </w:pPr>
    </w:p>
    <w:p w14:paraId="4AF82148">
      <w:pPr>
        <w:widowControl/>
        <w:spacing w:line="560" w:lineRule="exact"/>
        <w:ind w:firstLine="640" w:firstLineChars="200"/>
        <w:jc w:val="left"/>
        <w:rPr>
          <w:rFonts w:hint="eastAsia" w:ascii="宋体" w:hAnsi="宋体" w:eastAsia="宋体" w:cs="宋体"/>
          <w:color w:val="auto"/>
          <w:kern w:val="0"/>
          <w:sz w:val="32"/>
          <w:szCs w:val="32"/>
          <w:highlight w:val="none"/>
          <w:lang w:bidi="ar"/>
        </w:rPr>
      </w:pPr>
    </w:p>
    <w:p w14:paraId="44885F8B">
      <w:pPr>
        <w:widowControl/>
        <w:spacing w:line="560" w:lineRule="exact"/>
        <w:ind w:firstLine="640" w:firstLineChars="200"/>
        <w:jc w:val="left"/>
        <w:rPr>
          <w:rFonts w:hint="eastAsia" w:ascii="宋体" w:hAnsi="宋体" w:eastAsia="宋体" w:cs="宋体"/>
          <w:color w:val="auto"/>
          <w:kern w:val="0"/>
          <w:sz w:val="32"/>
          <w:szCs w:val="32"/>
          <w:highlight w:val="none"/>
          <w:lang w:bidi="ar"/>
        </w:rPr>
      </w:pPr>
    </w:p>
    <w:p w14:paraId="710B26FA">
      <w:pPr>
        <w:pStyle w:val="20"/>
        <w:spacing w:line="600" w:lineRule="exact"/>
        <w:ind w:left="6240" w:hanging="6240" w:hangingChars="2600"/>
        <w:jc w:val="both"/>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公司名称（盖章）：</w:t>
      </w:r>
      <w:r>
        <w:rPr>
          <w:rFonts w:hint="eastAsia" w:ascii="宋体" w:hAnsi="宋体" w:eastAsia="宋体" w:cs="宋体"/>
          <w:bCs w:val="0"/>
          <w:color w:val="auto"/>
          <w:kern w:val="2"/>
          <w:sz w:val="24"/>
          <w:szCs w:val="24"/>
          <w:highlight w:val="none"/>
          <w:u w:val="single"/>
        </w:rPr>
        <w:t xml:space="preserve">                               </w:t>
      </w:r>
    </w:p>
    <w:p w14:paraId="5A49FB3B">
      <w:pPr>
        <w:pStyle w:val="20"/>
        <w:spacing w:line="600" w:lineRule="exact"/>
        <w:jc w:val="both"/>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联系人姓名：</w:t>
      </w:r>
      <w:r>
        <w:rPr>
          <w:rFonts w:hint="eastAsia" w:ascii="宋体" w:hAnsi="宋体" w:eastAsia="宋体" w:cs="宋体"/>
          <w:bCs w:val="0"/>
          <w:color w:val="auto"/>
          <w:kern w:val="2"/>
          <w:sz w:val="24"/>
          <w:szCs w:val="24"/>
          <w:highlight w:val="none"/>
          <w:u w:val="single"/>
        </w:rPr>
        <w:t xml:space="preserve">                                     </w:t>
      </w:r>
    </w:p>
    <w:p w14:paraId="4096AEBE">
      <w:pPr>
        <w:pStyle w:val="20"/>
        <w:spacing w:line="600" w:lineRule="exact"/>
        <w:jc w:val="both"/>
        <w:rPr>
          <w:rFonts w:hint="eastAsia" w:ascii="宋体" w:hAnsi="宋体" w:eastAsia="宋体" w:cs="宋体"/>
          <w:bCs w:val="0"/>
          <w:color w:val="auto"/>
          <w:kern w:val="2"/>
          <w:sz w:val="24"/>
          <w:szCs w:val="24"/>
          <w:highlight w:val="none"/>
          <w:u w:val="single"/>
        </w:rPr>
      </w:pPr>
      <w:r>
        <w:rPr>
          <w:rFonts w:hint="eastAsia" w:ascii="宋体" w:hAnsi="宋体" w:eastAsia="宋体" w:cs="宋体"/>
          <w:bCs w:val="0"/>
          <w:color w:val="auto"/>
          <w:kern w:val="2"/>
          <w:sz w:val="24"/>
          <w:szCs w:val="24"/>
          <w:highlight w:val="none"/>
        </w:rPr>
        <w:t>联系人电话：</w:t>
      </w:r>
      <w:r>
        <w:rPr>
          <w:rFonts w:hint="eastAsia" w:ascii="宋体" w:hAnsi="宋体" w:eastAsia="宋体" w:cs="宋体"/>
          <w:bCs w:val="0"/>
          <w:color w:val="auto"/>
          <w:kern w:val="2"/>
          <w:sz w:val="24"/>
          <w:szCs w:val="24"/>
          <w:highlight w:val="none"/>
          <w:u w:val="single"/>
        </w:rPr>
        <w:t xml:space="preserve">                                     </w:t>
      </w:r>
    </w:p>
    <w:p w14:paraId="11543B20">
      <w:pPr>
        <w:pStyle w:val="20"/>
        <w:spacing w:line="600" w:lineRule="exact"/>
        <w:jc w:val="both"/>
        <w:rPr>
          <w:rFonts w:hint="eastAsia" w:ascii="宋体" w:hAnsi="宋体" w:eastAsia="宋体" w:cs="宋体"/>
          <w:bCs w:val="0"/>
          <w:color w:val="auto"/>
          <w:kern w:val="2"/>
          <w:sz w:val="24"/>
          <w:szCs w:val="24"/>
          <w:highlight w:val="none"/>
          <w:u w:val="single"/>
        </w:rPr>
      </w:pPr>
      <w:r>
        <w:rPr>
          <w:rFonts w:hint="eastAsia" w:ascii="宋体" w:hAnsi="宋体" w:eastAsia="宋体" w:cs="宋体"/>
          <w:bCs w:val="0"/>
          <w:color w:val="auto"/>
          <w:kern w:val="2"/>
          <w:sz w:val="24"/>
          <w:szCs w:val="24"/>
          <w:highlight w:val="none"/>
        </w:rPr>
        <w:t>联系人邮箱：</w:t>
      </w:r>
      <w:r>
        <w:rPr>
          <w:rFonts w:hint="eastAsia" w:ascii="宋体" w:hAnsi="宋体" w:eastAsia="宋体" w:cs="宋体"/>
          <w:bCs w:val="0"/>
          <w:color w:val="auto"/>
          <w:kern w:val="2"/>
          <w:sz w:val="24"/>
          <w:szCs w:val="24"/>
          <w:highlight w:val="none"/>
          <w:u w:val="single"/>
        </w:rPr>
        <w:t xml:space="preserve">                                     </w:t>
      </w:r>
    </w:p>
    <w:p w14:paraId="20DDC80A">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r>
        <w:rPr>
          <w:rFonts w:hint="eastAsia" w:ascii="宋体" w:hAnsi="宋体" w:eastAsia="宋体" w:cs="宋体"/>
          <w:color w:val="auto"/>
          <w:sz w:val="24"/>
          <w:highlight w:val="none"/>
          <w:u w:val="single"/>
        </w:rPr>
        <w:t xml:space="preserve">                                          </w:t>
      </w:r>
    </w:p>
    <w:p w14:paraId="6FC3A8AC">
      <w:pPr>
        <w:rPr>
          <w:rFonts w:hint="eastAsia" w:ascii="宋体" w:hAnsi="宋体" w:eastAsia="宋体" w:cs="宋体"/>
          <w:color w:val="auto"/>
          <w:highlight w:val="none"/>
        </w:rPr>
      </w:pPr>
    </w:p>
    <w:p w14:paraId="01C42644">
      <w:pPr>
        <w:spacing w:line="520" w:lineRule="exact"/>
        <w:rPr>
          <w:rFonts w:hint="eastAsia" w:ascii="宋体" w:hAnsi="宋体" w:eastAsia="宋体" w:cs="宋体"/>
          <w:b/>
          <w:bCs/>
          <w:color w:val="auto"/>
          <w:kern w:val="0"/>
          <w:sz w:val="24"/>
          <w:highlight w:val="none"/>
          <w:shd w:val="clear" w:color="auto" w:fill="FFFFFF"/>
          <w:lang w:bidi="ar"/>
        </w:rPr>
      </w:pPr>
    </w:p>
    <w:p w14:paraId="32C1288C">
      <w:pPr>
        <w:spacing w:line="520" w:lineRule="exact"/>
        <w:rPr>
          <w:rFonts w:hint="eastAsia" w:ascii="宋体" w:hAnsi="宋体" w:eastAsia="宋体" w:cs="宋体"/>
          <w:color w:val="auto"/>
          <w:kern w:val="0"/>
          <w:sz w:val="24"/>
          <w:highlight w:val="none"/>
          <w:shd w:val="clear" w:color="auto" w:fill="FFFFFF"/>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0B112"/>
    <w:multiLevelType w:val="multilevel"/>
    <w:tmpl w:val="27F0B11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pStyle w:val="3"/>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24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33D2AEB8"/>
    <w:multiLevelType w:val="singleLevel"/>
    <w:tmpl w:val="33D2AEB8"/>
    <w:lvl w:ilvl="0" w:tentative="0">
      <w:start w:val="1"/>
      <w:numFmt w:val="decimalEnclosedCircleChinese"/>
      <w:suff w:val="nothing"/>
      <w:lvlText w:val="%1　"/>
      <w:lvlJc w:val="left"/>
      <w:pPr>
        <w:ind w:left="0" w:firstLine="400"/>
      </w:pPr>
      <w:rPr>
        <w:rFonts w:hint="eastAsia"/>
      </w:rPr>
    </w:lvl>
  </w:abstractNum>
  <w:abstractNum w:abstractNumId="2">
    <w:nsid w:val="484D7024"/>
    <w:multiLevelType w:val="singleLevel"/>
    <w:tmpl w:val="484D702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NmQ3Yjk2ZmFhOTYyYzhhYzZlMWE0NjRkZjExY2IifQ=="/>
  </w:docVars>
  <w:rsids>
    <w:rsidRoot w:val="00AD4E48"/>
    <w:rsid w:val="000758C0"/>
    <w:rsid w:val="002A5CA1"/>
    <w:rsid w:val="002D5F80"/>
    <w:rsid w:val="004C72E0"/>
    <w:rsid w:val="00A84D36"/>
    <w:rsid w:val="00AD4E48"/>
    <w:rsid w:val="00AE0CE5"/>
    <w:rsid w:val="00D863D3"/>
    <w:rsid w:val="00FC19A7"/>
    <w:rsid w:val="01016D04"/>
    <w:rsid w:val="0494555C"/>
    <w:rsid w:val="064876EC"/>
    <w:rsid w:val="0677405A"/>
    <w:rsid w:val="1723775F"/>
    <w:rsid w:val="1A1B37F8"/>
    <w:rsid w:val="27826579"/>
    <w:rsid w:val="28B72691"/>
    <w:rsid w:val="29A23240"/>
    <w:rsid w:val="29AE7E60"/>
    <w:rsid w:val="2C462B85"/>
    <w:rsid w:val="2DAF72CD"/>
    <w:rsid w:val="2F816EE9"/>
    <w:rsid w:val="30B07EDB"/>
    <w:rsid w:val="322063D4"/>
    <w:rsid w:val="33DD1AA5"/>
    <w:rsid w:val="3524402A"/>
    <w:rsid w:val="36176879"/>
    <w:rsid w:val="3AA325D5"/>
    <w:rsid w:val="3DDD388A"/>
    <w:rsid w:val="4FE93B53"/>
    <w:rsid w:val="50C1369D"/>
    <w:rsid w:val="51963AAE"/>
    <w:rsid w:val="54D62389"/>
    <w:rsid w:val="574B5D9F"/>
    <w:rsid w:val="5DEF362A"/>
    <w:rsid w:val="60432042"/>
    <w:rsid w:val="63B62FA7"/>
    <w:rsid w:val="65091669"/>
    <w:rsid w:val="696613D1"/>
    <w:rsid w:val="6C2D2F86"/>
    <w:rsid w:val="6EB431BD"/>
    <w:rsid w:val="7233509E"/>
    <w:rsid w:val="7667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4"/>
    <w:basedOn w:val="1"/>
    <w:next w:val="1"/>
    <w:semiHidden/>
    <w:unhideWhenUsed/>
    <w:qFormat/>
    <w:uiPriority w:val="9"/>
    <w:pPr>
      <w:keepNext/>
      <w:keepLines/>
      <w:numPr>
        <w:ilvl w:val="3"/>
        <w:numId w:val="1"/>
      </w:numPr>
      <w:adjustRightInd w:val="0"/>
      <w:snapToGrid w:val="0"/>
      <w:spacing w:before="50" w:beforeLines="50" w:after="50" w:afterLines="50"/>
      <w:jc w:val="left"/>
      <w:outlineLvl w:val="3"/>
    </w:pPr>
    <w:rPr>
      <w:rFonts w:ascii="Times New Roman" w:hAnsi="Times New Roman"/>
      <w:b/>
      <w:bC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nhideWhenUsed/>
    <w:qFormat/>
    <w:uiPriority w:val="99"/>
    <w:pPr>
      <w:spacing w:after="120"/>
    </w:pPr>
    <w:rPr>
      <w:lang w:val="zh-CN"/>
    </w:rPr>
  </w:style>
  <w:style w:type="paragraph" w:styleId="6">
    <w:name w:val="Plain Text"/>
    <w:basedOn w:val="1"/>
    <w:qFormat/>
    <w:uiPriority w:val="0"/>
    <w:rPr>
      <w:rFonts w:ascii="宋体" w:hAnsi="Courier New" w:cs="Courier New"/>
      <w:szCs w:val="21"/>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tabs>
        <w:tab w:val="center" w:pos="4153"/>
        <w:tab w:val="right" w:pos="8306"/>
      </w:tabs>
      <w:snapToGrid w:val="0"/>
      <w:jc w:val="center"/>
    </w:pPr>
    <w:rPr>
      <w:sz w:val="18"/>
      <w:szCs w:val="18"/>
    </w:rPr>
  </w:style>
  <w:style w:type="paragraph" w:styleId="9">
    <w:name w:val="Body Text 2"/>
    <w:basedOn w:val="1"/>
    <w:unhideWhenUsed/>
    <w:qFormat/>
    <w:uiPriority w:val="99"/>
    <w:pPr>
      <w:spacing w:after="120" w:line="480" w:lineRule="auto"/>
    </w:p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next w:val="1"/>
    <w:qFormat/>
    <w:uiPriority w:val="99"/>
    <w:pPr>
      <w:spacing w:line="500" w:lineRule="exact"/>
      <w:ind w:firstLine="510"/>
    </w:pPr>
    <w:rPr>
      <w:sz w:val="28"/>
      <w:lang w:val="en-U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customStyle="1" w:styleId="17">
    <w:name w:val="正文正"/>
    <w:basedOn w:val="1"/>
    <w:qFormat/>
    <w:uiPriority w:val="0"/>
    <w:pPr>
      <w:spacing w:line="560" w:lineRule="exact"/>
      <w:ind w:firstLine="561"/>
    </w:pPr>
    <w:rPr>
      <w:sz w:val="28"/>
      <w:szCs w:val="28"/>
    </w:rPr>
  </w:style>
  <w:style w:type="paragraph" w:customStyle="1" w:styleId="18">
    <w:name w:val="_正文"/>
    <w:basedOn w:val="1"/>
    <w:qFormat/>
    <w:uiPriority w:val="0"/>
    <w:pPr>
      <w:jc w:val="left"/>
    </w:pPr>
    <w:rPr>
      <w:rFonts w:hAnsi="宋体"/>
      <w:szCs w:val="21"/>
    </w:rPr>
  </w:style>
  <w:style w:type="paragraph" w:customStyle="1" w:styleId="19">
    <w:name w:val="HTML 预设格式1"/>
    <w:basedOn w:val="1"/>
    <w:autoRedefine/>
    <w:qFormat/>
    <w:uiPriority w:val="0"/>
    <w:pPr>
      <w:widowControl/>
      <w:spacing w:line="330" w:lineRule="atLeast"/>
      <w:jc w:val="left"/>
    </w:pPr>
    <w:rPr>
      <w:rFonts w:ascii="Arial" w:hAnsi="Arial"/>
      <w:kern w:val="0"/>
      <w:szCs w:val="21"/>
    </w:rPr>
  </w:style>
  <w:style w:type="paragraph" w:customStyle="1" w:styleId="20">
    <w:name w:val="Default"/>
    <w:autoRedefine/>
    <w:qFormat/>
    <w:uiPriority w:val="0"/>
    <w:pPr>
      <w:widowControl w:val="0"/>
      <w:autoSpaceDE w:val="0"/>
      <w:autoSpaceDN w:val="0"/>
      <w:adjustRightInd w:val="0"/>
      <w:jc w:val="center"/>
    </w:pPr>
    <w:rPr>
      <w:rFonts w:ascii="仿宋_GB2312" w:hAnsi="仿宋" w:eastAsia="仿宋_GB2312" w:cs="黑体"/>
      <w:bCs/>
      <w:color w:val="000000"/>
      <w:sz w:val="36"/>
      <w:szCs w:val="36"/>
      <w:lang w:val="en-US" w:eastAsia="zh-CN" w:bidi="ar-SA"/>
    </w:rPr>
  </w:style>
  <w:style w:type="paragraph" w:customStyle="1" w:styleId="21">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2">
    <w:name w:val="页眉 字符"/>
    <w:basedOn w:val="14"/>
    <w:link w:val="8"/>
    <w:qFormat/>
    <w:uiPriority w:val="0"/>
    <w:rPr>
      <w:rFonts w:asciiTheme="minorHAnsi" w:hAnsiTheme="minorHAnsi" w:eastAsiaTheme="minorEastAsia" w:cstheme="minorBidi"/>
      <w:kern w:val="2"/>
      <w:sz w:val="18"/>
      <w:szCs w:val="18"/>
    </w:rPr>
  </w:style>
  <w:style w:type="character" w:customStyle="1" w:styleId="23">
    <w:name w:val="页脚 字符"/>
    <w:basedOn w:val="14"/>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3FA9D-E484-42CE-AC7E-F1326007024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6748</Words>
  <Characters>7034</Characters>
  <Lines>118</Lines>
  <Paragraphs>33</Paragraphs>
  <TotalTime>9</TotalTime>
  <ScaleCrop>false</ScaleCrop>
  <LinksUpToDate>false</LinksUpToDate>
  <CharactersWithSpaces>7126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2025-05-14T04:52:00Z</dcterms:created>
  <dc:creator>ASUS</dc:creator>
  <cp:lastModifiedBy>财务处</cp:lastModifiedBy>
  <dcterms:modified xsi:type="dcterms:W3CDTF">2025-09-18T08:28:25Z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eyJoZGlkIjoiZjJiYzRjZDg4ODIxMmZkMzVjYzYxNzIzMDEwYjJjY2IiLCJ1c2VySWQiOiIyNzUyNDIwOTMifQ==</vt:lpwstr>
  </property>
  <property fmtid="{D5CDD505-2E9C-101B-9397-08002B2CF9AE}" pid="4" name="ICV">
    <vt:lpwstr>BA0C4C84565942D283AC0876E514680D_13</vt:lpwstr>
  </property>
</Properties>
</file>