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sz w:val="28"/>
          <w:szCs w:val="32"/>
        </w:rPr>
      </w:pPr>
      <w:r>
        <w:drawing>
          <wp:inline distT="0" distB="0" distL="0" distR="0">
            <wp:extent cx="2355850" cy="2952750"/>
            <wp:effectExtent l="0" t="0" r="6350" b="0"/>
            <wp:docPr id="16891664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166436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59579" cy="295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sz w:val="28"/>
          <w:szCs w:val="32"/>
        </w:rPr>
      </w:pPr>
      <w:r>
        <w:rPr>
          <w:sz w:val="28"/>
          <w:szCs w:val="32"/>
        </w:rPr>
        <w:t>伍建林，香港浸会大学理学院哲学博士，香港大学医学院博士后。现任中药机制与质量全国重点实验室（澳门科技大学）教授，博士</w:t>
      </w:r>
      <w:r>
        <w:rPr>
          <w:rFonts w:hint="eastAsia"/>
          <w:sz w:val="28"/>
          <w:szCs w:val="32"/>
          <w:lang w:val="en-US" w:eastAsia="zh-CN"/>
        </w:rPr>
        <w:t>生</w:t>
      </w:r>
      <w:r>
        <w:rPr>
          <w:sz w:val="28"/>
          <w:szCs w:val="32"/>
        </w:rPr>
        <w:t>导师。</w:t>
      </w:r>
      <w:bookmarkStart w:id="0" w:name="_GoBack"/>
      <w:bookmarkEnd w:id="0"/>
    </w:p>
    <w:p>
      <w:pPr>
        <w:rPr>
          <w:sz w:val="28"/>
          <w:szCs w:val="32"/>
        </w:rPr>
      </w:pPr>
      <w:r>
        <w:rPr>
          <w:sz w:val="28"/>
          <w:szCs w:val="32"/>
        </w:rPr>
        <w:t>澳门医药投资协会</w:t>
      </w:r>
      <w:r>
        <w:rPr>
          <w:rFonts w:hint="eastAsia"/>
          <w:sz w:val="28"/>
          <w:szCs w:val="32"/>
        </w:rPr>
        <w:t>会长，</w:t>
      </w:r>
      <w:r>
        <w:rPr>
          <w:sz w:val="28"/>
          <w:szCs w:val="32"/>
        </w:rPr>
        <w:t>澳门药食同源协会</w:t>
      </w:r>
      <w:r>
        <w:rPr>
          <w:rFonts w:hint="eastAsia"/>
          <w:sz w:val="28"/>
          <w:szCs w:val="32"/>
        </w:rPr>
        <w:t>创会会长，</w:t>
      </w:r>
      <w:r>
        <w:rPr>
          <w:sz w:val="28"/>
          <w:szCs w:val="32"/>
        </w:rPr>
        <w:t>中国分析测试协会</w:t>
      </w:r>
      <w:r>
        <w:rPr>
          <w:rFonts w:hint="eastAsia"/>
          <w:sz w:val="28"/>
          <w:szCs w:val="32"/>
        </w:rPr>
        <w:t>（</w:t>
      </w:r>
      <w:r>
        <w:rPr>
          <w:sz w:val="28"/>
          <w:szCs w:val="32"/>
        </w:rPr>
        <w:t>CAIA</w:t>
      </w:r>
      <w:r>
        <w:rPr>
          <w:rFonts w:hint="eastAsia"/>
          <w:sz w:val="28"/>
          <w:szCs w:val="32"/>
        </w:rPr>
        <w:t>）理事。中科院一区杂志</w:t>
      </w:r>
      <w:r>
        <w:rPr>
          <w:sz w:val="28"/>
          <w:szCs w:val="32"/>
        </w:rPr>
        <w:t>Journal of Pharmaceutical Analysis</w:t>
      </w:r>
      <w:r>
        <w:rPr>
          <w:rFonts w:hint="eastAsia"/>
          <w:sz w:val="28"/>
          <w:szCs w:val="32"/>
        </w:rPr>
        <w:t>、</w:t>
      </w:r>
      <w:r>
        <w:rPr>
          <w:sz w:val="28"/>
          <w:szCs w:val="32"/>
        </w:rPr>
        <w:t>Current Research in Food Science</w:t>
      </w:r>
      <w:r>
        <w:rPr>
          <w:rFonts w:hint="eastAsia"/>
          <w:sz w:val="28"/>
          <w:szCs w:val="32"/>
        </w:rPr>
        <w:t>、</w:t>
      </w:r>
      <w:r>
        <w:rPr>
          <w:sz w:val="28"/>
          <w:szCs w:val="32"/>
        </w:rPr>
        <w:t>Food Science and Human Wellness编委</w:t>
      </w:r>
      <w:r>
        <w:rPr>
          <w:rFonts w:hint="eastAsia"/>
          <w:sz w:val="28"/>
          <w:szCs w:val="32"/>
        </w:rPr>
        <w:t>，</w:t>
      </w:r>
      <w:r>
        <w:rPr>
          <w:sz w:val="28"/>
          <w:szCs w:val="32"/>
        </w:rPr>
        <w:t>Phytochemicals in Food and Medicine共同主编</w:t>
      </w:r>
      <w:r>
        <w:rPr>
          <w:rFonts w:hint="eastAsia"/>
          <w:sz w:val="28"/>
          <w:szCs w:val="32"/>
        </w:rPr>
        <w:t>。</w:t>
      </w:r>
      <w:r>
        <w:rPr>
          <w:sz w:val="28"/>
          <w:szCs w:val="32"/>
        </w:rPr>
        <w:t xml:space="preserve">建立了包括代谢流、羧酸组学、微生物组学、挥发组学、糖组学、多肽组学和蛋白组学的复杂体系全成分解析关键技术（CCACS）和基于问题导向质谱多组学（POMIMS）整合分析技术，广泛应用于临床疾病诊断和机制研究、药食同源复杂体系全成分解析、活性成分发现、机制研究、质量提升及产业化等。截至目前，以第一和通讯作者在 </w:t>
      </w:r>
      <w:r>
        <w:rPr>
          <w:i/>
          <w:iCs/>
          <w:sz w:val="28"/>
          <w:szCs w:val="32"/>
        </w:rPr>
        <w:t>Gastroenterology, Cell Res, J Pharm Anal, Metabolism, Cell Commun Signal, J Control Release, Adv Healthc Mater, Environ Sci Tech, J Hazard Mater, Environ Int, Carbohydr Polym, Food Hydrocolloid, Food Chem, Med Res Rev, Trends Anal Chem</w:t>
      </w:r>
      <w:r>
        <w:rPr>
          <w:sz w:val="28"/>
          <w:szCs w:val="32"/>
        </w:rPr>
        <w:t xml:space="preserve"> 等影响因子超过10分的Q1 Top，及合作在 </w:t>
      </w:r>
      <w:r>
        <w:rPr>
          <w:i/>
          <w:iCs/>
          <w:sz w:val="28"/>
          <w:szCs w:val="32"/>
        </w:rPr>
        <w:t xml:space="preserve">Gut, PNAS, J Hepatol, STTT </w:t>
      </w:r>
      <w:r>
        <w:rPr>
          <w:sz w:val="28"/>
          <w:szCs w:val="32"/>
        </w:rPr>
        <w:t>等杂志上发表SCI论文180余篇，总影响因子超过1300分。先后入选广州医科大学南山学者特聘教授、山西省海外高层次人才</w:t>
      </w:r>
      <w:r>
        <w:rPr>
          <w:rFonts w:hint="eastAsia"/>
          <w:sz w:val="28"/>
          <w:szCs w:val="32"/>
        </w:rPr>
        <w:t>“</w:t>
      </w:r>
      <w:r>
        <w:rPr>
          <w:sz w:val="28"/>
          <w:szCs w:val="32"/>
        </w:rPr>
        <w:t>百人计划</w:t>
      </w:r>
      <w:r>
        <w:rPr>
          <w:rFonts w:hint="eastAsia"/>
          <w:sz w:val="28"/>
          <w:szCs w:val="32"/>
        </w:rPr>
        <w:t>”</w:t>
      </w:r>
      <w:r>
        <w:rPr>
          <w:sz w:val="28"/>
          <w:szCs w:val="32"/>
        </w:rPr>
        <w:t>和浙江省千人计划。主持和共同主持（子课题负责人）包括自然科学基金委-澳门科技基金会联合基金、澳门重点研发计划在内的竞争性基金18项，经费总额超过5000万人民币。连续入选Stanford University全球前2%科学家榜单。申请和授权国际国内专利30项。课题组已毕业的16个研究生有4个荣获澳门政府优秀研究生奖。截至目前，已开发药食同源产品10余个，临床诊断试剂盒3个。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1OGU2ZDdjNTQ3ZTJjYTI3MDlkZWIwNmY0YzkxZGUifQ=="/>
  </w:docVars>
  <w:rsids>
    <w:rsidRoot w:val="00155832"/>
    <w:rsid w:val="00005B05"/>
    <w:rsid w:val="0000784E"/>
    <w:rsid w:val="0002271A"/>
    <w:rsid w:val="0003133B"/>
    <w:rsid w:val="00045246"/>
    <w:rsid w:val="00065635"/>
    <w:rsid w:val="000865FF"/>
    <w:rsid w:val="000A37BB"/>
    <w:rsid w:val="000E50A7"/>
    <w:rsid w:val="000E54BC"/>
    <w:rsid w:val="00127475"/>
    <w:rsid w:val="00137FAE"/>
    <w:rsid w:val="00141420"/>
    <w:rsid w:val="0014435B"/>
    <w:rsid w:val="00155832"/>
    <w:rsid w:val="00165051"/>
    <w:rsid w:val="0019136B"/>
    <w:rsid w:val="001A5A57"/>
    <w:rsid w:val="001A5DEF"/>
    <w:rsid w:val="001F5FC6"/>
    <w:rsid w:val="002553B0"/>
    <w:rsid w:val="002668DE"/>
    <w:rsid w:val="0028246F"/>
    <w:rsid w:val="0029382E"/>
    <w:rsid w:val="002953E6"/>
    <w:rsid w:val="00295C7D"/>
    <w:rsid w:val="002A1737"/>
    <w:rsid w:val="002B2B59"/>
    <w:rsid w:val="002B553F"/>
    <w:rsid w:val="002C243C"/>
    <w:rsid w:val="002E16B0"/>
    <w:rsid w:val="002F10C7"/>
    <w:rsid w:val="002F66DD"/>
    <w:rsid w:val="002F7E2D"/>
    <w:rsid w:val="00303467"/>
    <w:rsid w:val="00303F72"/>
    <w:rsid w:val="00322191"/>
    <w:rsid w:val="00323C45"/>
    <w:rsid w:val="003257BC"/>
    <w:rsid w:val="0034122B"/>
    <w:rsid w:val="00355458"/>
    <w:rsid w:val="00356B53"/>
    <w:rsid w:val="003630F8"/>
    <w:rsid w:val="00373663"/>
    <w:rsid w:val="003A4480"/>
    <w:rsid w:val="003B2376"/>
    <w:rsid w:val="003B4FC8"/>
    <w:rsid w:val="003B7A6E"/>
    <w:rsid w:val="003C1FFE"/>
    <w:rsid w:val="003C46BD"/>
    <w:rsid w:val="004115F8"/>
    <w:rsid w:val="00445A5D"/>
    <w:rsid w:val="00461947"/>
    <w:rsid w:val="00462AE0"/>
    <w:rsid w:val="004657BE"/>
    <w:rsid w:val="00472C94"/>
    <w:rsid w:val="00492FEE"/>
    <w:rsid w:val="004C0126"/>
    <w:rsid w:val="004C15F5"/>
    <w:rsid w:val="004D19A3"/>
    <w:rsid w:val="004E352D"/>
    <w:rsid w:val="004F7F50"/>
    <w:rsid w:val="005114D1"/>
    <w:rsid w:val="005235B0"/>
    <w:rsid w:val="005A6DE0"/>
    <w:rsid w:val="005C28F8"/>
    <w:rsid w:val="005D6FC6"/>
    <w:rsid w:val="005E348B"/>
    <w:rsid w:val="005E6440"/>
    <w:rsid w:val="006014E4"/>
    <w:rsid w:val="00607A5B"/>
    <w:rsid w:val="00627331"/>
    <w:rsid w:val="00633D4B"/>
    <w:rsid w:val="006449AF"/>
    <w:rsid w:val="006460C0"/>
    <w:rsid w:val="00653A04"/>
    <w:rsid w:val="0068393E"/>
    <w:rsid w:val="00691CB0"/>
    <w:rsid w:val="006944DC"/>
    <w:rsid w:val="00694C74"/>
    <w:rsid w:val="006A16B8"/>
    <w:rsid w:val="006A66EF"/>
    <w:rsid w:val="006D6B4A"/>
    <w:rsid w:val="006F0F5F"/>
    <w:rsid w:val="00701B21"/>
    <w:rsid w:val="00712D13"/>
    <w:rsid w:val="00726D70"/>
    <w:rsid w:val="00741B53"/>
    <w:rsid w:val="00772EB9"/>
    <w:rsid w:val="0077699F"/>
    <w:rsid w:val="00787014"/>
    <w:rsid w:val="0079305C"/>
    <w:rsid w:val="007934C0"/>
    <w:rsid w:val="007A27FD"/>
    <w:rsid w:val="007A7F56"/>
    <w:rsid w:val="007F33A7"/>
    <w:rsid w:val="00803865"/>
    <w:rsid w:val="00804365"/>
    <w:rsid w:val="008271BB"/>
    <w:rsid w:val="00831E13"/>
    <w:rsid w:val="00847974"/>
    <w:rsid w:val="00851909"/>
    <w:rsid w:val="00865514"/>
    <w:rsid w:val="0088470E"/>
    <w:rsid w:val="008922F9"/>
    <w:rsid w:val="008F6A06"/>
    <w:rsid w:val="00927BC8"/>
    <w:rsid w:val="009361B1"/>
    <w:rsid w:val="00937327"/>
    <w:rsid w:val="00940563"/>
    <w:rsid w:val="009445DE"/>
    <w:rsid w:val="00953E76"/>
    <w:rsid w:val="0095400C"/>
    <w:rsid w:val="0097189D"/>
    <w:rsid w:val="009B313C"/>
    <w:rsid w:val="009B526D"/>
    <w:rsid w:val="009D10BC"/>
    <w:rsid w:val="009D5169"/>
    <w:rsid w:val="009E6669"/>
    <w:rsid w:val="009F727C"/>
    <w:rsid w:val="00A0556B"/>
    <w:rsid w:val="00A178C0"/>
    <w:rsid w:val="00A20463"/>
    <w:rsid w:val="00A45069"/>
    <w:rsid w:val="00A50925"/>
    <w:rsid w:val="00A63C2B"/>
    <w:rsid w:val="00A64C24"/>
    <w:rsid w:val="00AA2E15"/>
    <w:rsid w:val="00AB0656"/>
    <w:rsid w:val="00AB2DA7"/>
    <w:rsid w:val="00AD24FD"/>
    <w:rsid w:val="00AE4DB0"/>
    <w:rsid w:val="00AF0DA0"/>
    <w:rsid w:val="00AF674D"/>
    <w:rsid w:val="00B249F1"/>
    <w:rsid w:val="00B269F1"/>
    <w:rsid w:val="00B4717E"/>
    <w:rsid w:val="00B72689"/>
    <w:rsid w:val="00BB73E0"/>
    <w:rsid w:val="00BC1D2B"/>
    <w:rsid w:val="00BD1D37"/>
    <w:rsid w:val="00BE14F0"/>
    <w:rsid w:val="00C05C31"/>
    <w:rsid w:val="00C253C0"/>
    <w:rsid w:val="00C27186"/>
    <w:rsid w:val="00C3139E"/>
    <w:rsid w:val="00C43CB7"/>
    <w:rsid w:val="00C570EF"/>
    <w:rsid w:val="00C7591E"/>
    <w:rsid w:val="00C90AB3"/>
    <w:rsid w:val="00CA501F"/>
    <w:rsid w:val="00CA57E1"/>
    <w:rsid w:val="00CD4DFB"/>
    <w:rsid w:val="00CF522B"/>
    <w:rsid w:val="00CF693C"/>
    <w:rsid w:val="00D0321C"/>
    <w:rsid w:val="00D2203F"/>
    <w:rsid w:val="00D37AC2"/>
    <w:rsid w:val="00D50B47"/>
    <w:rsid w:val="00D553BD"/>
    <w:rsid w:val="00D73793"/>
    <w:rsid w:val="00D73933"/>
    <w:rsid w:val="00D9257B"/>
    <w:rsid w:val="00DB4F20"/>
    <w:rsid w:val="00DC4C75"/>
    <w:rsid w:val="00DE42A0"/>
    <w:rsid w:val="00DF3444"/>
    <w:rsid w:val="00E01C5D"/>
    <w:rsid w:val="00E20C4E"/>
    <w:rsid w:val="00E55626"/>
    <w:rsid w:val="00E55697"/>
    <w:rsid w:val="00E666C6"/>
    <w:rsid w:val="00E82688"/>
    <w:rsid w:val="00E96A07"/>
    <w:rsid w:val="00EB2E9C"/>
    <w:rsid w:val="00ED4927"/>
    <w:rsid w:val="00EE6267"/>
    <w:rsid w:val="00EE7E1C"/>
    <w:rsid w:val="00F278A3"/>
    <w:rsid w:val="00F5009A"/>
    <w:rsid w:val="00F53BD7"/>
    <w:rsid w:val="00F60911"/>
    <w:rsid w:val="00F70443"/>
    <w:rsid w:val="00F8243B"/>
    <w:rsid w:val="00F94618"/>
    <w:rsid w:val="00FB0854"/>
    <w:rsid w:val="00FE6B23"/>
    <w:rsid w:val="00FF1AD0"/>
    <w:rsid w:val="72366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37609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7609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37609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376092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37609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uiPriority w:val="9"/>
    <w:rPr>
      <w:rFonts w:asciiTheme="majorHAnsi" w:hAnsiTheme="majorHAnsi" w:eastAsiaTheme="majorEastAsia" w:cstheme="majorBidi"/>
      <w:color w:val="37609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uiPriority w:val="9"/>
    <w:rPr>
      <w:rFonts w:asciiTheme="majorHAnsi" w:hAnsiTheme="majorHAnsi" w:eastAsiaTheme="majorEastAsia" w:cstheme="majorBidi"/>
      <w:color w:val="37609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uiPriority w:val="9"/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uiPriority w:val="9"/>
    <w:rPr>
      <w:rFonts w:cstheme="majorBidi"/>
      <w:color w:val="37609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uiPriority w:val="9"/>
    <w:rPr>
      <w:rFonts w:cstheme="majorBidi"/>
      <w:color w:val="376092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uiPriority w:val="9"/>
    <w:rPr>
      <w:rFonts w:cstheme="majorBidi"/>
      <w:b/>
      <w:bCs/>
      <w:color w:val="376092" w:themeColor="accent1" w:themeShade="BF"/>
    </w:rPr>
  </w:style>
  <w:style w:type="character" w:customStyle="1" w:styleId="23">
    <w:name w:val="标题 7 字符"/>
    <w:basedOn w:val="16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37609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366091" w:themeColor="accent1" w:themeShade="BF" w:sz="4" w:space="10"/>
        <w:bottom w:val="single" w:color="3660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76092" w:themeColor="accent1" w:themeShade="BF"/>
    </w:rPr>
  </w:style>
  <w:style w:type="character" w:customStyle="1" w:styleId="33">
    <w:name w:val="明显引用 字符"/>
    <w:basedOn w:val="16"/>
    <w:link w:val="32"/>
    <w:uiPriority w:val="30"/>
    <w:rPr>
      <w:i/>
      <w:iCs/>
      <w:color w:val="37609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376092" w:themeColor="accent1" w:themeShade="BF"/>
      <w:spacing w:val="5"/>
    </w:rPr>
  </w:style>
  <w:style w:type="character" w:customStyle="1" w:styleId="35">
    <w:name w:val="页眉 字符"/>
    <w:basedOn w:val="16"/>
    <w:link w:val="12"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141</Words>
  <Characters>807</Characters>
  <Lines>6</Lines>
  <Paragraphs>1</Paragraphs>
  <TotalTime>14</TotalTime>
  <ScaleCrop>false</ScaleCrop>
  <LinksUpToDate>false</LinksUpToDate>
  <CharactersWithSpaces>947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2026-10-16T08:59:00Z</dcterms:created>
  <dc:creator>忠会 郭</dc:creator>
  <cp:lastModifiedBy>DZ张忠斌</cp:lastModifiedBy>
  <dcterms:modified xsi:type="dcterms:W3CDTF">2026-10-27T01:09:54Z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481936EDBC1E43818EBF3E5B9E2CC5C2_12</vt:lpwstr>
  </property>
</Properties>
</file>