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E6DBD">
      <w:pPr>
        <w:jc w:val="center"/>
        <w:rPr>
          <w:rFonts w:hint="eastAsia"/>
          <w:b/>
          <w:bCs/>
          <w:sz w:val="32"/>
          <w:szCs w:val="32"/>
          <w:lang w:val="en-US" w:eastAsia="zh-CN"/>
        </w:rPr>
      </w:pPr>
      <w:r>
        <w:rPr>
          <w:rFonts w:hint="eastAsia"/>
          <w:b/>
          <w:bCs/>
          <w:sz w:val="32"/>
          <w:szCs w:val="32"/>
          <w:lang w:val="en-US" w:eastAsia="zh-CN"/>
        </w:rPr>
        <w:t>科研项目</w:t>
      </w:r>
      <w:r>
        <w:rPr>
          <w:rFonts w:hint="eastAsia"/>
          <w:b/>
          <w:bCs/>
          <w:sz w:val="32"/>
          <w:szCs w:val="32"/>
        </w:rPr>
        <w:t>动物伦理审查申请</w:t>
      </w:r>
      <w:r>
        <w:rPr>
          <w:rFonts w:hint="eastAsia"/>
          <w:b/>
          <w:bCs/>
          <w:sz w:val="32"/>
          <w:szCs w:val="32"/>
          <w:lang w:val="en-US" w:eastAsia="zh-CN"/>
        </w:rPr>
        <w:t>表</w:t>
      </w:r>
    </w:p>
    <w:p w14:paraId="146C921F">
      <w:pPr>
        <w:jc w:val="center"/>
        <w:rPr>
          <w:rFonts w:hint="eastAsia"/>
          <w:b/>
          <w:bCs/>
          <w:sz w:val="32"/>
          <w:szCs w:val="32"/>
        </w:rPr>
      </w:pPr>
      <w:r>
        <w:rPr>
          <w:rFonts w:hint="eastAsia"/>
          <w:b/>
          <w:bCs/>
          <w:sz w:val="32"/>
          <w:szCs w:val="32"/>
        </w:rPr>
        <w:t>填写说明</w:t>
      </w:r>
    </w:p>
    <w:p w14:paraId="41E4477C">
      <w:pPr>
        <w:jc w:val="center"/>
        <w:rPr>
          <w:rFonts w:hint="eastAsia"/>
          <w:b/>
          <w:bCs/>
          <w:sz w:val="32"/>
          <w:szCs w:val="32"/>
        </w:rPr>
      </w:pPr>
    </w:p>
    <w:p w14:paraId="41BC7925">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bCs/>
        </w:rPr>
      </w:pPr>
      <w:r>
        <w:rPr>
          <w:rFonts w:hint="eastAsia"/>
          <w:b/>
          <w:bCs/>
          <w:lang w:val="en-US" w:eastAsia="zh-CN"/>
        </w:rPr>
        <w:t>一、科研项目动物伦理审查</w:t>
      </w:r>
      <w:r>
        <w:rPr>
          <w:rFonts w:hint="eastAsia"/>
          <w:b/>
          <w:bCs/>
        </w:rPr>
        <w:t>申请表填写的注意事项</w:t>
      </w:r>
    </w:p>
    <w:p w14:paraId="5B88283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lang w:val="en-US" w:eastAsia="zh-CN"/>
        </w:rPr>
      </w:pPr>
      <w:r>
        <w:rPr>
          <w:rFonts w:hint="eastAsia"/>
          <w:b/>
          <w:bCs/>
          <w:lang w:val="en-US" w:eastAsia="zh-CN"/>
        </w:rPr>
        <w:t>申请编号和伦理批号由科技伦理委员会办公室编写。</w:t>
      </w:r>
    </w:p>
    <w:p w14:paraId="757B8404">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b/>
          <w:bCs/>
        </w:rPr>
      </w:pPr>
      <w:r>
        <w:rPr>
          <w:rFonts w:hint="eastAsia"/>
          <w:b/>
          <w:bCs/>
        </w:rPr>
        <w:t>申请人与项目基本信息：</w:t>
      </w:r>
    </w:p>
    <w:p w14:paraId="711CA73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b w:val="0"/>
          <w:bCs/>
          <w:sz w:val="21"/>
          <w:szCs w:val="21"/>
          <w:lang w:val="en-US" w:eastAsia="zh-CN"/>
        </w:rPr>
      </w:pPr>
      <w:r>
        <w:rPr>
          <w:rFonts w:hint="eastAsia"/>
          <w:b/>
          <w:bCs/>
        </w:rPr>
        <w:t>· 申请类型</w:t>
      </w:r>
      <w:r>
        <w:rPr>
          <w:rFonts w:hint="eastAsia"/>
          <w:b/>
          <w:bCs/>
          <w:lang w:eastAsia="zh-CN"/>
        </w:rPr>
        <w:t>：</w:t>
      </w:r>
      <w:r>
        <w:rPr>
          <w:rFonts w:hint="eastAsia"/>
          <w:lang w:val="en-US" w:eastAsia="zh-CN"/>
        </w:rPr>
        <w:t>项目获批后实施前首次申请伦理审查，请选择初始申请；首次申请伦理审查后根据委员审</w:t>
      </w:r>
      <w:r>
        <w:rPr>
          <w:rFonts w:hint="eastAsia" w:asciiTheme="minorEastAsia" w:hAnsiTheme="minorEastAsia" w:eastAsiaTheme="minorEastAsia" w:cstheme="minorEastAsia"/>
          <w:lang w:val="en-US" w:eastAsia="zh-CN"/>
        </w:rPr>
        <w:t>查</w:t>
      </w:r>
      <w:r>
        <w:rPr>
          <w:rFonts w:hint="eastAsia" w:asciiTheme="minorEastAsia" w:hAnsiTheme="minorEastAsia" w:eastAsiaTheme="minorEastAsia" w:cstheme="minorEastAsia"/>
          <w:sz w:val="21"/>
          <w:szCs w:val="21"/>
          <w:lang w:val="en-US" w:eastAsia="zh-CN"/>
        </w:rPr>
        <w:t>意见后修改后再审的，请选择再审；获得伦理批件/决定后，在</w:t>
      </w:r>
      <w:r>
        <w:rPr>
          <w:rFonts w:hint="eastAsia" w:asciiTheme="minorEastAsia" w:hAnsiTheme="minorEastAsia" w:cstheme="minorEastAsia"/>
          <w:sz w:val="21"/>
          <w:szCs w:val="21"/>
          <w:lang w:val="en-US" w:eastAsia="zh-CN"/>
        </w:rPr>
        <w:t>批准证明书</w:t>
      </w:r>
      <w:r>
        <w:rPr>
          <w:rFonts w:hint="eastAsia" w:asciiTheme="minorEastAsia" w:hAnsiTheme="minorEastAsia" w:eastAsiaTheme="minorEastAsia" w:cstheme="minorEastAsia"/>
          <w:sz w:val="21"/>
          <w:szCs w:val="21"/>
          <w:lang w:val="en-US" w:eastAsia="zh-CN"/>
        </w:rPr>
        <w:t>有效期满</w:t>
      </w:r>
      <w:r>
        <w:rPr>
          <w:rFonts w:hint="eastAsia" w:asciiTheme="minorEastAsia" w:hAnsiTheme="minorEastAsia" w:cstheme="minorEastAsia"/>
          <w:sz w:val="21"/>
          <w:szCs w:val="21"/>
          <w:lang w:val="en-US" w:eastAsia="zh-CN"/>
        </w:rPr>
        <w:t>前的2个月</w:t>
      </w:r>
      <w:r>
        <w:rPr>
          <w:rFonts w:hint="eastAsia" w:asciiTheme="minorEastAsia" w:hAnsiTheme="minorEastAsia" w:eastAsiaTheme="minorEastAsia" w:cstheme="minorEastAsia"/>
          <w:b w:val="0"/>
          <w:bCs/>
          <w:sz w:val="21"/>
          <w:szCs w:val="21"/>
          <w:lang w:val="en-US" w:eastAsia="zh-CN"/>
        </w:rPr>
        <w:t>提交跟踪审查</w:t>
      </w:r>
      <w:r>
        <w:rPr>
          <w:rFonts w:hint="eastAsia" w:asciiTheme="minorEastAsia" w:hAnsiTheme="minorEastAsia" w:cstheme="minorEastAsia"/>
          <w:b w:val="0"/>
          <w:bCs/>
          <w:sz w:val="21"/>
          <w:szCs w:val="21"/>
          <w:lang w:val="en-US" w:eastAsia="zh-CN"/>
        </w:rPr>
        <w:t>，请选择跟踪审查。</w:t>
      </w:r>
    </w:p>
    <w:p w14:paraId="2A443C75">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rPr>
          <w:rFonts w:hint="default" w:eastAsiaTheme="minorEastAsia"/>
          <w:b/>
          <w:bCs/>
          <w:lang w:val="en-US" w:eastAsia="zh-CN"/>
        </w:rPr>
      </w:pPr>
      <w:r>
        <w:rPr>
          <w:rFonts w:hint="eastAsia"/>
          <w:b/>
          <w:bCs/>
        </w:rPr>
        <w:t xml:space="preserve">· </w:t>
      </w:r>
      <w:r>
        <w:rPr>
          <w:rFonts w:hint="eastAsia"/>
          <w:b/>
          <w:bCs/>
          <w:lang w:val="en-US" w:eastAsia="zh-CN"/>
        </w:rPr>
        <w:t>审查方式</w:t>
      </w:r>
      <w:r>
        <w:rPr>
          <w:rFonts w:hint="eastAsia"/>
          <w:b/>
          <w:bCs/>
          <w:lang w:eastAsia="zh-CN"/>
        </w:rPr>
        <w:t>：</w:t>
      </w:r>
      <w:r>
        <w:rPr>
          <w:rFonts w:hint="eastAsia"/>
          <w:b w:val="0"/>
          <w:bCs w:val="0"/>
          <w:lang w:val="en-US" w:eastAsia="zh-CN"/>
        </w:rPr>
        <w:t>快速审查或会议审查由伦理办填写。我校作为参与单位参加多个单位合作开展的科技活动或者前期无重大调整的科技活动的跟踪审查，请选择快速审查。对于突发事件紧急状态下的伦理审查，请选择紧急审查。对于科技部公开发布的纳入清单管理的科技活动，请选择同时勾选专家复核。</w:t>
      </w:r>
    </w:p>
    <w:p w14:paraId="29ABE68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项目名称：</w:t>
      </w:r>
      <w:r>
        <w:rPr>
          <w:rFonts w:hint="eastAsia"/>
        </w:rPr>
        <w:t>用科学性语言描述实验课题。</w:t>
      </w:r>
      <w:r>
        <w:rPr>
          <w:rFonts w:hint="eastAsia"/>
          <w:b/>
          <w:bCs/>
          <w:color w:val="FF0000"/>
        </w:rPr>
        <w:t>同一项目中能共同申请的动物实验尽量合并申请，</w:t>
      </w:r>
      <w:r>
        <w:rPr>
          <w:rFonts w:hint="eastAsia"/>
        </w:rPr>
        <w:t>例如实验设计和操作相同的不同品系、药物的动物实验。</w:t>
      </w:r>
      <w:r>
        <w:rPr>
          <w:rFonts w:hint="eastAsia"/>
          <w:color w:val="C00000"/>
        </w:rPr>
        <w:t>如该申请的动物实验内容是大课题的一部分，请</w:t>
      </w:r>
      <w:r>
        <w:rPr>
          <w:rFonts w:hint="eastAsia"/>
          <w:color w:val="C00000"/>
          <w:lang w:eastAsia="zh-CN"/>
        </w:rPr>
        <w:t>在</w:t>
      </w:r>
      <w:r>
        <w:rPr>
          <w:rFonts w:hint="eastAsia"/>
          <w:color w:val="C00000"/>
          <w:lang w:val="en-US" w:eastAsia="zh-CN"/>
        </w:rPr>
        <w:t>大课题后用破折号加上</w:t>
      </w:r>
      <w:r>
        <w:rPr>
          <w:rFonts w:hint="eastAsia"/>
          <w:color w:val="C00000"/>
        </w:rPr>
        <w:t>本部分动物实验附属的小课题的名称</w:t>
      </w:r>
      <w:r>
        <w:rPr>
          <w:rFonts w:hint="eastAsia"/>
          <w:color w:val="C00000"/>
          <w:lang w:eastAsia="zh-CN"/>
        </w:rPr>
        <w:t>。</w:t>
      </w:r>
    </w:p>
    <w:p w14:paraId="42B7515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lang w:val="en-US" w:eastAsia="zh-CN"/>
        </w:rPr>
        <w:t>项目</w:t>
      </w:r>
      <w:r>
        <w:rPr>
          <w:rFonts w:hint="eastAsia"/>
          <w:b/>
          <w:bCs/>
        </w:rPr>
        <w:t>资助来源：</w:t>
      </w:r>
      <w:r>
        <w:rPr>
          <w:rFonts w:hint="eastAsia"/>
        </w:rPr>
        <w:t>要求填写该项目受助的完整名称</w:t>
      </w:r>
      <w:r>
        <w:rPr>
          <w:rFonts w:hint="eastAsia"/>
          <w:lang w:eastAsia="zh-CN"/>
        </w:rPr>
        <w:t>。</w:t>
      </w:r>
    </w:p>
    <w:p w14:paraId="0DB9167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lang w:val="en-US" w:eastAsia="zh-CN"/>
        </w:rPr>
        <w:t>单位</w:t>
      </w:r>
      <w:r>
        <w:rPr>
          <w:rFonts w:hint="eastAsia"/>
          <w:b/>
          <w:bCs/>
        </w:rPr>
        <w:t>：</w:t>
      </w:r>
      <w:r>
        <w:rPr>
          <w:rFonts w:hint="eastAsia"/>
        </w:rPr>
        <w:t>应填写完整的</w:t>
      </w:r>
      <w:r>
        <w:rPr>
          <w:rFonts w:hint="eastAsia"/>
          <w:lang w:val="en-US" w:eastAsia="zh-CN"/>
        </w:rPr>
        <w:t>单位</w:t>
      </w:r>
      <w:r>
        <w:rPr>
          <w:rFonts w:hint="eastAsia"/>
        </w:rPr>
        <w:t>名称</w:t>
      </w:r>
      <w:r>
        <w:rPr>
          <w:rFonts w:hint="eastAsia"/>
          <w:lang w:eastAsia="zh-CN"/>
        </w:rPr>
        <w:t>。</w:t>
      </w:r>
    </w:p>
    <w:p w14:paraId="10A041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b/>
          <w:bCs/>
        </w:rPr>
        <w:t>· 项目负责人：</w:t>
      </w:r>
      <w:r>
        <w:rPr>
          <w:rFonts w:hint="eastAsia"/>
          <w:lang w:val="en-US" w:eastAsia="zh-CN"/>
        </w:rPr>
        <w:t>填写项目负责人姓名，并</w:t>
      </w:r>
      <w:r>
        <w:rPr>
          <w:rFonts w:hint="eastAsia"/>
        </w:rPr>
        <w:t>提供真实有效的联系方式</w:t>
      </w:r>
      <w:r>
        <w:rPr>
          <w:rFonts w:hint="eastAsia"/>
          <w:lang w:eastAsia="zh-CN"/>
        </w:rPr>
        <w:t>。</w:t>
      </w:r>
    </w:p>
    <w:p w14:paraId="27935A7E">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b/>
          <w:bCs/>
        </w:rPr>
      </w:pPr>
      <w:r>
        <w:rPr>
          <w:rFonts w:hint="eastAsia"/>
          <w:b/>
          <w:bCs/>
        </w:rPr>
        <w:t>项目负责人</w:t>
      </w:r>
      <w:r>
        <w:rPr>
          <w:rFonts w:hint="eastAsia"/>
          <w:b/>
          <w:bCs/>
          <w:lang w:val="en-US" w:eastAsia="zh-CN"/>
        </w:rPr>
        <w:t>单位</w:t>
      </w:r>
      <w:r>
        <w:rPr>
          <w:rFonts w:hint="eastAsia"/>
          <w:b/>
          <w:bCs/>
        </w:rPr>
        <w:t>：</w:t>
      </w:r>
      <w:r>
        <w:rPr>
          <w:rFonts w:hint="eastAsia"/>
          <w:b w:val="0"/>
          <w:bCs w:val="0"/>
          <w:lang w:val="en-US" w:eastAsia="zh-CN"/>
        </w:rPr>
        <w:t>具体到所在部门</w:t>
      </w:r>
      <w:r>
        <w:rPr>
          <w:rFonts w:hint="eastAsia"/>
          <w:b w:val="0"/>
          <w:bCs w:val="0"/>
        </w:rPr>
        <w:t xml:space="preserve">· </w:t>
      </w:r>
    </w:p>
    <w:p w14:paraId="4C75E5BD">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eastAsiaTheme="minorEastAsia"/>
          <w:lang w:eastAsia="zh-CN"/>
        </w:rPr>
      </w:pPr>
      <w:r>
        <w:rPr>
          <w:rFonts w:hint="eastAsia"/>
        </w:rPr>
        <w:t>如没有</w:t>
      </w:r>
      <w:r>
        <w:rPr>
          <w:rFonts w:hint="eastAsia"/>
          <w:b/>
          <w:bCs/>
        </w:rPr>
        <w:t>合作单位</w:t>
      </w:r>
      <w:r>
        <w:rPr>
          <w:rFonts w:hint="eastAsia"/>
        </w:rPr>
        <w:t>请填写无，勿重复填写上述已有信息</w:t>
      </w:r>
      <w:r>
        <w:rPr>
          <w:rFonts w:hint="eastAsia"/>
          <w:lang w:eastAsia="zh-CN"/>
        </w:rPr>
        <w:t>。</w:t>
      </w:r>
    </w:p>
    <w:p w14:paraId="61FB5E1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2、动物实验操作人员信息</w:t>
      </w:r>
    </w:p>
    <w:p w14:paraId="0355C82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根据实验方案的实际需求填写参与该动物实验全部人员的信息。</w:t>
      </w:r>
    </w:p>
    <w:p w14:paraId="0CEBC58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当动物实验操作人员的职责涉及任何动物实验操作时，如动物保定、麻醉止痛、手术操作、动物给药、安乐死和标本采集等，其必须详细描述该实验人员的相关动物实验能力和经验。</w:t>
      </w:r>
    </w:p>
    <w:p w14:paraId="4C0490B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Theme="minorEastAsia"/>
          <w:lang w:val="en-US" w:eastAsia="zh-CN"/>
        </w:rPr>
      </w:pPr>
      <w:r>
        <w:rPr>
          <w:rFonts w:hint="eastAsia"/>
          <w:b/>
          <w:bCs/>
        </w:rPr>
        <w:t>·</w:t>
      </w:r>
      <w:r>
        <w:rPr>
          <w:rFonts w:hint="eastAsia"/>
        </w:rPr>
        <w:t>执行动物实验人员</w:t>
      </w:r>
      <w:r>
        <w:rPr>
          <w:rFonts w:hint="eastAsia"/>
          <w:lang w:val="en-US" w:eastAsia="zh-CN"/>
        </w:rPr>
        <w:t>需</w:t>
      </w:r>
      <w:r>
        <w:rPr>
          <w:rFonts w:hint="eastAsia"/>
          <w:b/>
          <w:bCs/>
          <w:color w:val="FF0000"/>
          <w:highlight w:val="none"/>
        </w:rPr>
        <w:t>持有本校实验动物中心准入培训的培训证号或省级官方培训基地颁发的动物实验技术人员资格证或有同等级别的资格证</w:t>
      </w:r>
      <w:r>
        <w:rPr>
          <w:rFonts w:hint="eastAsia"/>
        </w:rPr>
        <w:t>，否则不予承认其实验资格。</w:t>
      </w:r>
      <w:r>
        <w:rPr>
          <w:rFonts w:hint="eastAsia"/>
          <w:lang w:val="en-US" w:eastAsia="zh-CN"/>
        </w:rPr>
        <w:t>且需要提供支撑材料。</w:t>
      </w:r>
    </w:p>
    <w:p w14:paraId="6630DF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实验人员</w:t>
      </w:r>
      <w:r>
        <w:rPr>
          <w:rFonts w:hint="eastAsia"/>
          <w:b/>
          <w:bCs/>
          <w:color w:val="FF0000"/>
          <w:highlight w:val="none"/>
        </w:rPr>
        <w:t>可以随着实验的持续变化，有所增加或改变，变更时须重新提交修改申请。</w:t>
      </w:r>
    </w:p>
    <w:p w14:paraId="7BED9B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3、</w:t>
      </w:r>
      <w:r>
        <w:rPr>
          <w:rFonts w:hint="eastAsia"/>
          <w:b/>
          <w:bCs/>
        </w:rPr>
        <w:t>研究目的和必要性</w:t>
      </w:r>
    </w:p>
    <w:p w14:paraId="657D2AF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请尽量详细填写。以非科学术语描述做什么以及做这个实验的必要性，要写明课题的背景、目的、意义，动物实验的必要性，实验手段、设计逻辑和拟解决的问题；同时提供该项目动物实验相关的参考文献</w:t>
      </w:r>
      <w:r>
        <w:rPr>
          <w:rFonts w:hint="eastAsia"/>
          <w:lang w:eastAsia="zh-CN"/>
        </w:rPr>
        <w:t>。建议参考课题申报书</w:t>
      </w:r>
      <w:r>
        <w:rPr>
          <w:rFonts w:hint="eastAsia"/>
        </w:rPr>
        <w:t>。</w:t>
      </w:r>
    </w:p>
    <w:p w14:paraId="0DE6C0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4、</w:t>
      </w:r>
      <w:r>
        <w:rPr>
          <w:rFonts w:hint="eastAsia"/>
          <w:b/>
          <w:bCs/>
        </w:rPr>
        <w:t>拟使用实验动物信息</w:t>
      </w:r>
    </w:p>
    <w:p w14:paraId="686EA0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动物基本信息：</w:t>
      </w:r>
      <w:r>
        <w:rPr>
          <w:rFonts w:hint="eastAsia"/>
        </w:rPr>
        <w:t>包括动物品种品系、动物等级、性别、数量、日龄、体重等；如在实验方案中涉及多个品种/品系动物或不同数量/日龄/体重的动物，可增加填写栏目；动物等级中</w:t>
      </w:r>
      <w:r>
        <w:rPr>
          <w:rFonts w:hint="eastAsia"/>
          <w:b/>
          <w:bCs/>
          <w:color w:val="FF0000"/>
        </w:rPr>
        <w:t>啮齿动物通常为SPF级或无菌级（无普通级），大动物通常为普通级或SPF级</w:t>
      </w:r>
      <w:r>
        <w:rPr>
          <w:rFonts w:hint="eastAsia"/>
          <w:b/>
          <w:bCs/>
        </w:rPr>
        <w:t>。</w:t>
      </w:r>
    </w:p>
    <w:p w14:paraId="7703C9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动物来源</w:t>
      </w:r>
      <w:r>
        <w:rPr>
          <w:rFonts w:hint="eastAsia"/>
        </w:rPr>
        <w:t>：依据实际情况选择。如所使用的动物为基因修饰动物，须勾选其他设施并提供真实的动物来源信息；如动物来源于国内其他饲养繁殖单位，请提供单位名称与生产许可证编号；如是由国外引进，请提供单位名称与相应的资格证明并上传资格证明附件。</w:t>
      </w:r>
    </w:p>
    <w:p w14:paraId="4C9AC48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rPr>
      </w:pPr>
      <w:r>
        <w:rPr>
          <w:rFonts w:hint="eastAsia"/>
          <w:b/>
          <w:bCs/>
        </w:rPr>
        <w:t>· 饲养地点：</w:t>
      </w:r>
      <w:r>
        <w:rPr>
          <w:rFonts w:hint="eastAsia"/>
        </w:rPr>
        <w:t>依据实际情况选择</w:t>
      </w:r>
      <w:r>
        <w:rPr>
          <w:rFonts w:hint="eastAsia"/>
          <w:lang w:eastAsia="zh-CN"/>
        </w:rPr>
        <w:t>，</w:t>
      </w:r>
      <w:r>
        <w:rPr>
          <w:rFonts w:hint="eastAsia"/>
          <w:b/>
          <w:bCs/>
          <w:color w:val="FF0000"/>
          <w:highlight w:val="yellow"/>
          <w:lang w:val="en-US" w:eastAsia="zh-CN"/>
        </w:rPr>
        <w:t>原则上必须在校本部实验动物中心饲养，</w:t>
      </w:r>
      <w:r>
        <w:rPr>
          <w:rFonts w:hint="eastAsia"/>
          <w:b/>
          <w:bCs/>
          <w:color w:val="FF0000"/>
        </w:rPr>
        <w:t>广西中医药大学</w:t>
      </w:r>
      <w:r>
        <w:rPr>
          <w:rFonts w:hint="eastAsia"/>
          <w:b/>
          <w:bCs/>
          <w:color w:val="FF0000"/>
          <w:lang w:val="en-US" w:eastAsia="zh-CN"/>
        </w:rPr>
        <w:t>实验动物</w:t>
      </w:r>
      <w:r>
        <w:rPr>
          <w:rFonts w:hint="eastAsia"/>
          <w:b/>
          <w:bCs/>
          <w:color w:val="FF0000"/>
        </w:rPr>
        <w:t>使用许可证号：</w:t>
      </w:r>
      <w:r>
        <w:rPr>
          <w:rFonts w:hint="eastAsia"/>
          <w:b/>
          <w:bCs/>
          <w:color w:val="FF0000"/>
          <w:highlight w:val="yellow"/>
        </w:rPr>
        <w:t>SYXK桂20</w:t>
      </w:r>
      <w:r>
        <w:rPr>
          <w:rFonts w:hint="eastAsia"/>
          <w:b/>
          <w:bCs/>
          <w:color w:val="FF0000"/>
          <w:highlight w:val="yellow"/>
          <w:lang w:val="en-US" w:eastAsia="zh-CN"/>
        </w:rPr>
        <w:t>24</w:t>
      </w:r>
      <w:r>
        <w:rPr>
          <w:rFonts w:hint="eastAsia"/>
          <w:b/>
          <w:bCs/>
          <w:color w:val="FF0000"/>
          <w:highlight w:val="yellow"/>
        </w:rPr>
        <w:t>-000</w:t>
      </w:r>
      <w:r>
        <w:rPr>
          <w:rFonts w:hint="eastAsia"/>
          <w:b/>
          <w:bCs/>
          <w:color w:val="FF0000"/>
          <w:highlight w:val="yellow"/>
          <w:lang w:val="en-US" w:eastAsia="zh-CN"/>
        </w:rPr>
        <w:t>4</w:t>
      </w:r>
      <w:r>
        <w:rPr>
          <w:rFonts w:hint="eastAsia"/>
        </w:rPr>
        <w:t>。</w:t>
      </w:r>
    </w:p>
    <w:p w14:paraId="67643C9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rPr>
      </w:pPr>
      <w:r>
        <w:rPr>
          <w:rFonts w:hint="eastAsia" w:asciiTheme="minorEastAsia" w:hAnsiTheme="minorEastAsia" w:eastAsiaTheme="minorEastAsia" w:cstheme="minorEastAsia"/>
          <w:sz w:val="21"/>
          <w:szCs w:val="21"/>
          <w:highlight w:val="yellow"/>
          <w:lang w:val="en-US" w:eastAsia="zh-CN"/>
        </w:rPr>
        <w:t>按照《</w:t>
      </w:r>
      <w:r>
        <w:rPr>
          <w:rFonts w:hint="eastAsia" w:asciiTheme="minorEastAsia" w:hAnsiTheme="minorEastAsia" w:eastAsiaTheme="minorEastAsia" w:cstheme="minorEastAsia"/>
          <w:b w:val="0"/>
          <w:bCs w:val="0"/>
          <w:sz w:val="21"/>
          <w:szCs w:val="21"/>
          <w:highlight w:val="yellow"/>
          <w:lang w:val="en-US" w:eastAsia="zh-CN"/>
        </w:rPr>
        <w:t>广西中医药大学科技伦理审查要求及流程</w:t>
      </w:r>
      <w:r>
        <w:rPr>
          <w:rFonts w:hint="eastAsia"/>
          <w:highlight w:val="yellow"/>
          <w:lang w:val="en-US" w:eastAsia="zh-CN"/>
        </w:rPr>
        <w:t>》“</w:t>
      </w:r>
      <w:r>
        <w:rPr>
          <w:rFonts w:hint="eastAsia" w:asciiTheme="minorEastAsia" w:hAnsiTheme="minorEastAsia" w:eastAsiaTheme="minorEastAsia" w:cstheme="minorEastAsia"/>
          <w:b w:val="0"/>
          <w:bCs w:val="0"/>
          <w:kern w:val="0"/>
          <w:sz w:val="21"/>
          <w:szCs w:val="21"/>
          <w:highlight w:val="yellow"/>
          <w:vertAlign w:val="baseline"/>
          <w:lang w:val="en-US" w:eastAsia="zh-CN" w:bidi="ar"/>
        </w:rPr>
        <w:t>以广西中医药大学为依托单位承担科研项目的学校教职工动物伦理审查</w:t>
      </w:r>
      <w:r>
        <w:rPr>
          <w:rFonts w:hint="eastAsia" w:asciiTheme="minorEastAsia" w:hAnsiTheme="minorEastAsia" w:eastAsiaTheme="minorEastAsia" w:cstheme="minorEastAsia"/>
          <w:kern w:val="0"/>
          <w:sz w:val="21"/>
          <w:szCs w:val="21"/>
          <w:highlight w:val="yellow"/>
          <w:shd w:val="clear" w:color="auto" w:fill="FFFFFF"/>
          <w:lang w:val="en-US" w:eastAsia="zh-CN" w:bidi="ar"/>
        </w:rPr>
        <w:t>申请表填写学校及实验动物使用许可证编号“</w:t>
      </w:r>
      <w:r>
        <w:rPr>
          <w:rFonts w:hint="eastAsia" w:asciiTheme="minorEastAsia" w:hAnsiTheme="minorEastAsia" w:eastAsiaTheme="minorEastAsia" w:cstheme="minorEastAsia"/>
          <w:kern w:val="0"/>
          <w:sz w:val="21"/>
          <w:szCs w:val="21"/>
          <w:highlight w:val="yellow"/>
          <w:shd w:val="clear" w:color="auto" w:fill="FFFFFF"/>
          <w:lang w:eastAsia="zh-CN" w:bidi="ar"/>
        </w:rPr>
        <w:t>SYXK(桂)20</w:t>
      </w:r>
      <w:r>
        <w:rPr>
          <w:rFonts w:hint="eastAsia" w:asciiTheme="minorEastAsia" w:hAnsiTheme="minorEastAsia" w:eastAsiaTheme="minorEastAsia" w:cstheme="minorEastAsia"/>
          <w:kern w:val="0"/>
          <w:sz w:val="21"/>
          <w:szCs w:val="21"/>
          <w:highlight w:val="yellow"/>
          <w:shd w:val="clear" w:color="auto" w:fill="FFFFFF"/>
          <w:lang w:val="en-US" w:eastAsia="zh-CN" w:bidi="ar"/>
        </w:rPr>
        <w:t>24</w:t>
      </w:r>
      <w:r>
        <w:rPr>
          <w:rFonts w:hint="eastAsia" w:asciiTheme="minorEastAsia" w:hAnsiTheme="minorEastAsia" w:eastAsiaTheme="minorEastAsia" w:cstheme="minorEastAsia"/>
          <w:kern w:val="0"/>
          <w:sz w:val="21"/>
          <w:szCs w:val="21"/>
          <w:highlight w:val="yellow"/>
          <w:shd w:val="clear" w:color="auto" w:fill="FFFFFF"/>
          <w:lang w:eastAsia="zh-CN" w:bidi="ar"/>
        </w:rPr>
        <w:t>-000</w:t>
      </w:r>
      <w:r>
        <w:rPr>
          <w:rFonts w:hint="eastAsia" w:asciiTheme="minorEastAsia" w:hAnsiTheme="minorEastAsia" w:eastAsiaTheme="minorEastAsia" w:cstheme="minorEastAsia"/>
          <w:kern w:val="0"/>
          <w:sz w:val="21"/>
          <w:szCs w:val="21"/>
          <w:highlight w:val="yellow"/>
          <w:shd w:val="clear" w:color="auto" w:fill="FFFFFF"/>
          <w:lang w:val="en-US" w:eastAsia="zh-CN" w:bidi="ar"/>
        </w:rPr>
        <w:t>4”的所有科研项目，根据《实验动物管理条例》《实验动物许可证管理办法》相关规定，必须到中医药壮瑶医药研究院实验动物中心开展动物实验。</w:t>
      </w:r>
      <w:r>
        <w:rPr>
          <w:rFonts w:hint="eastAsia" w:asciiTheme="minorEastAsia" w:hAnsiTheme="minorEastAsia" w:cstheme="minorEastAsia"/>
          <w:kern w:val="0"/>
          <w:sz w:val="21"/>
          <w:szCs w:val="21"/>
          <w:highlight w:val="yellow"/>
          <w:shd w:val="clear" w:color="auto" w:fill="FFFFFF"/>
          <w:lang w:val="en-US" w:eastAsia="zh-CN" w:bidi="ar"/>
        </w:rPr>
        <w:t>”</w:t>
      </w:r>
      <w:r>
        <w:rPr>
          <w:rFonts w:hint="eastAsia"/>
        </w:rPr>
        <w:t>如动物饲养和实验场所不在本校动物中心，应具有充分的理由，并提供该设施的实验动物使用许可证编号和本研究计划在该设施的</w:t>
      </w:r>
      <w:r>
        <w:rPr>
          <w:color w:val="0000FF"/>
        </w:rPr>
        <w:fldChar w:fldCharType="begin"/>
      </w:r>
      <w:r>
        <w:rPr>
          <w:color w:val="0000FF"/>
        </w:rPr>
        <w:instrText xml:space="preserve"> HYPERLINK "https://www.lac.zju.edu.cn/buymice/cmssite/control/stream?contentId=2qauk8pbqSE=" </w:instrText>
      </w:r>
      <w:r>
        <w:rPr>
          <w:color w:val="0000FF"/>
        </w:rPr>
        <w:fldChar w:fldCharType="separate"/>
      </w:r>
      <w:r>
        <w:rPr>
          <w:rStyle w:val="17"/>
          <w:rFonts w:hint="eastAsia"/>
          <w:color w:val="0000FF"/>
        </w:rPr>
        <w:t>《实验动物福利</w:t>
      </w:r>
      <w:r>
        <w:rPr>
          <w:rStyle w:val="17"/>
          <w:rFonts w:hint="eastAsia"/>
          <w:color w:val="0000FF"/>
          <w:lang w:val="en-US" w:eastAsia="zh-CN"/>
        </w:rPr>
        <w:t>与</w:t>
      </w:r>
      <w:r>
        <w:rPr>
          <w:rStyle w:val="17"/>
          <w:rFonts w:hint="eastAsia"/>
          <w:color w:val="0000FF"/>
        </w:rPr>
        <w:t>伦理</w:t>
      </w:r>
      <w:r>
        <w:rPr>
          <w:rStyle w:val="17"/>
          <w:rFonts w:hint="eastAsia"/>
          <w:color w:val="0000FF"/>
          <w:lang w:val="en-US" w:eastAsia="zh-CN"/>
        </w:rPr>
        <w:t>承诺书</w:t>
      </w:r>
      <w:r>
        <w:rPr>
          <w:rStyle w:val="17"/>
          <w:rFonts w:hint="eastAsia"/>
          <w:color w:val="0000FF"/>
        </w:rPr>
        <w:t>》</w:t>
      </w:r>
      <w:r>
        <w:rPr>
          <w:rStyle w:val="17"/>
          <w:rFonts w:hint="eastAsia"/>
          <w:color w:val="0000FF"/>
        </w:rPr>
        <w:fldChar w:fldCharType="end"/>
      </w:r>
      <w:r>
        <w:rPr>
          <w:rFonts w:hint="eastAsia"/>
        </w:rPr>
        <w:t>；如涉及AAV或慢病毒等国家规定的第三类病原体（参考</w:t>
      </w:r>
      <w:r>
        <w:rPr>
          <w:rFonts w:hint="eastAsia"/>
          <w:color w:val="0000FF"/>
          <w:u w:val="single"/>
        </w:rPr>
        <w:fldChar w:fldCharType="begin"/>
      </w:r>
      <w:r>
        <w:rPr>
          <w:rFonts w:hint="eastAsia"/>
          <w:color w:val="0000FF"/>
          <w:u w:val="single"/>
        </w:rPr>
        <w:instrText xml:space="preserve">HYPERLINK "https://www.lac.zju.edu.cn/buymice/cmssite/control/stream?contentId=c-OPcVlqsos="</w:instrText>
      </w:r>
      <w:r>
        <w:rPr>
          <w:rFonts w:hint="eastAsia"/>
          <w:color w:val="0000FF"/>
          <w:u w:val="single"/>
        </w:rPr>
        <w:fldChar w:fldCharType="separate"/>
      </w:r>
      <w:r>
        <w:rPr>
          <w:rStyle w:val="17"/>
          <w:rFonts w:hint="eastAsia"/>
          <w:color w:val="0000FF"/>
        </w:rPr>
        <w:t>《人间传染的微生物名录（2006）》</w:t>
      </w:r>
      <w:r>
        <w:rPr>
          <w:rFonts w:hint="eastAsia"/>
          <w:color w:val="0000FF"/>
        </w:rPr>
        <w:fldChar w:fldCharType="end"/>
      </w:r>
      <w:r>
        <w:rPr>
          <w:rFonts w:hint="eastAsia"/>
        </w:rPr>
        <w:t>）应在官方认可的ABSL-2实验室进行相关动物实验操作，请勾选其他设施并按照要求上传设施资质和信息</w:t>
      </w:r>
      <w:r>
        <w:rPr>
          <w:rFonts w:hint="eastAsia"/>
          <w:lang w:eastAsia="zh-CN"/>
        </w:rPr>
        <w:t>。</w:t>
      </w:r>
      <w:r>
        <w:rPr>
          <w:rFonts w:hint="eastAsia"/>
        </w:rPr>
        <w:t>在</w:t>
      </w:r>
      <w:r>
        <w:rPr>
          <w:rFonts w:hint="eastAsia"/>
          <w:lang w:val="en-US" w:eastAsia="zh-CN"/>
        </w:rPr>
        <w:t>项目</w:t>
      </w:r>
      <w:r>
        <w:rPr>
          <w:rFonts w:hint="eastAsia"/>
        </w:rPr>
        <w:t>申报阶段可不提供上述详细信息，但要求申请者提供</w:t>
      </w:r>
      <w:r>
        <w:rPr>
          <w:rFonts w:hint="eastAsia"/>
          <w:color w:val="0000FF"/>
        </w:rPr>
        <w:fldChar w:fldCharType="begin"/>
      </w:r>
      <w:r>
        <w:rPr>
          <w:rFonts w:hint="eastAsia"/>
          <w:color w:val="0000FF"/>
        </w:rPr>
        <w:instrText xml:space="preserve">HYPERLINK "https://www.lac.zju.edu.cn/buymice/cmssite/control/stream?contentId=YlZ0TrnTEbs="</w:instrText>
      </w:r>
      <w:r>
        <w:rPr>
          <w:rFonts w:hint="eastAsia"/>
          <w:color w:val="0000FF"/>
        </w:rPr>
        <w:fldChar w:fldCharType="separate"/>
      </w:r>
      <w:r>
        <w:rPr>
          <w:rStyle w:val="17"/>
          <w:rFonts w:hint="eastAsia"/>
          <w:color w:val="0000FF"/>
        </w:rPr>
        <w:t>《ABSL-2实验室开展动物实验的个人承诺函》</w:t>
      </w:r>
      <w:r>
        <w:rPr>
          <w:rFonts w:hint="eastAsia"/>
          <w:color w:val="0000FF"/>
        </w:rPr>
        <w:fldChar w:fldCharType="end"/>
      </w:r>
    </w:p>
    <w:p w14:paraId="0B7538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使用某种动物的理由：</w:t>
      </w:r>
      <w:r>
        <w:rPr>
          <w:rFonts w:hint="eastAsia"/>
        </w:rPr>
        <w:t>如实验方案中涉及非人灵长类（猕猴、狨猴、恒河猴等）或犬类（比格犬等）的使用，应额外勾选「其他」，并详细说明该实验选择使用非人灵长类或犬类的充分必要性，选用生物学等级较低的其他动物品种如何不能达到既定的实验目的等。</w:t>
      </w:r>
    </w:p>
    <w:p w14:paraId="2B15042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使用动物数量的具体理由：</w:t>
      </w:r>
      <w:r>
        <w:rPr>
          <w:rFonts w:hint="eastAsia"/>
        </w:rPr>
        <w:t>根据课题需要，详细说明实验分组、每组动物数量所用的统计学方法和统计学意义等，以证明此数量为能完成实验所需的最少的动物用量，申请的用量最多不能超过3年。该部分无需提供实验方案过程，实验方案过程应完整填写在5.2。</w:t>
      </w:r>
    </w:p>
    <w:p w14:paraId="604C5CB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5、拟开展动物实验的详细信息</w:t>
      </w:r>
    </w:p>
    <w:p w14:paraId="6C8F07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拟动物实验时间：</w:t>
      </w:r>
      <w:r>
        <w:rPr>
          <w:rFonts w:hint="eastAsia"/>
        </w:rPr>
        <w:t>由于实验应在伦理审查通过之后开展，所以建议拟实验时间至少在审查申请后2-3个月左右。</w:t>
      </w:r>
    </w:p>
    <w:p w14:paraId="51DE46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highlight w:val="none"/>
        </w:rPr>
        <w:t>请描述与动物相关的实验操作过程</w:t>
      </w:r>
      <w:r>
        <w:rPr>
          <w:rFonts w:hint="eastAsia"/>
          <w:b/>
          <w:bCs/>
          <w:highlight w:val="none"/>
          <w:lang w:eastAsia="zh-CN"/>
        </w:rPr>
        <w:t>：</w:t>
      </w:r>
      <w:r>
        <w:rPr>
          <w:rFonts w:hint="eastAsia"/>
        </w:rPr>
        <w:t>包括</w:t>
      </w:r>
      <w:r>
        <w:rPr>
          <w:rFonts w:hint="eastAsia"/>
          <w:lang w:eastAsia="zh-CN"/>
        </w:rPr>
        <w:t>分组</w:t>
      </w:r>
      <w:r>
        <w:rPr>
          <w:rFonts w:hint="eastAsia"/>
        </w:rPr>
        <w:t>、</w:t>
      </w:r>
      <w:r>
        <w:rPr>
          <w:rFonts w:hint="eastAsia"/>
          <w:lang w:val="en-US" w:eastAsia="zh-CN"/>
        </w:rPr>
        <w:t>每组动物数量、</w:t>
      </w:r>
      <w:r>
        <w:rPr>
          <w:rFonts w:hint="eastAsia"/>
          <w:lang w:eastAsia="zh-CN"/>
        </w:rPr>
        <w:t>标记、固定、</w:t>
      </w:r>
      <w:r>
        <w:rPr>
          <w:rFonts w:hint="eastAsia"/>
        </w:rPr>
        <w:t>造模、给药、手术等</w:t>
      </w:r>
      <w:r>
        <w:rPr>
          <w:rFonts w:hint="eastAsia"/>
          <w:lang w:eastAsia="zh-CN"/>
        </w:rPr>
        <w:t>及</w:t>
      </w:r>
      <w:r>
        <w:rPr>
          <w:rFonts w:hint="eastAsia"/>
        </w:rPr>
        <w:t>“各组具体处理、处理频率和周期、后续实验及周期、重复情况”</w:t>
      </w:r>
      <w:r>
        <w:rPr>
          <w:rFonts w:hint="eastAsia"/>
          <w:lang w:eastAsia="zh-CN"/>
        </w:rPr>
        <w:t>。</w:t>
      </w:r>
    </w:p>
    <w:p w14:paraId="4629D81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本动物实验所需的特殊处理：</w:t>
      </w:r>
      <w:r>
        <w:rPr>
          <w:rFonts w:hint="eastAsia"/>
        </w:rPr>
        <w:t>如实验涉及动物的限饲或禁水，请详细说明限制食物和饮水的科学性、合理性和必要性，并充分考虑限制时间是否已经是为了达到科学目的所需的最短时间，同时说明限饲限水的观察间隔时间以及对动物生理指标和行为学的观察记录。（动物福利伦理委员会对动物限饲的要求是动物体重的降低不可超过进食前基础体重的20%）；如实验涉及特殊饲料饮水的使用，应说明饲料或饮水的灭菌方式，以保障本实验动物和其他动物的健康与质量</w:t>
      </w:r>
      <w:r>
        <w:rPr>
          <w:rFonts w:hint="eastAsia"/>
          <w:b/>
          <w:bCs/>
        </w:rPr>
        <w:t>；</w:t>
      </w:r>
      <w:r>
        <w:rPr>
          <w:rFonts w:hint="eastAsia"/>
        </w:rPr>
        <w:t>如实验涉及群居动物的单笼饲养，必须详细说明其科学性和必要性，列出可以支持此观点的参考文献，并指出环境丰富化的方案，如果环境丰富化将被限制，必须详细说明理由，并提供参考文献。</w:t>
      </w:r>
    </w:p>
    <w:p w14:paraId="4E5509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给予动物的物质种类：</w:t>
      </w:r>
    </w:p>
    <w:p w14:paraId="2F4A5315">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如涉及有毒性、传染性试剂的实验，应详细提供该试剂的生物安全信息，并说明实验操作者对此类实验操作的经验，对此类试剂的使用风险的了解程度和安全操作方法、及处理污染物的方法和程序；</w:t>
      </w:r>
    </w:p>
    <w:p w14:paraId="5162080C">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如涉及放射性试剂的使用，必须填写放射性物质的名称、放射剂量、给药方式和剂量，以及不慎溅洒后的无害化处理措施；</w:t>
      </w:r>
    </w:p>
    <w:p w14:paraId="38DB8FC6">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如涉及诱导肿瘤的实验，应填写肿瘤细胞系名称、来源、质量安全、注射方式及剂量，同时确定是否是人源性细胞，并说明其来源和医学伦理学合规性。</w:t>
      </w:r>
    </w:p>
    <w:p w14:paraId="5A2769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标本采集方案：</w:t>
      </w:r>
      <w:r>
        <w:rPr>
          <w:rFonts w:hint="eastAsia"/>
        </w:rPr>
        <w:t>如拟采集标本类型为血液，应明确是否为终末采血（动物在采血后是否存活），如采血后动物还需存活，单次血液采集量不可超过动物体总循环血量的15%，并须在3-4周后可重复采血；小鼠单次采血量不可超过200ul，当采血量大于300ul时，每次采血的时间间隔不可少于3周。常用尾尖采血法或颌下采血法；而利用眼眶后静脉丛采血法之前，应用局部麻醉剂（如盐酸可卡因或丁卡因溶液）对动物进行麻醉，以减轻采血操作带来的疼痛和紧张，并在采血完毕后及时有效的进行止血和消炎，并须动物完全恢复正常后（一般为2周后）可重复采血。（更多详细内容请参见</w:t>
      </w:r>
      <w:r>
        <w:rPr>
          <w:rFonts w:hint="eastAsia"/>
          <w:color w:val="0000FF"/>
        </w:rPr>
        <w:fldChar w:fldCharType="begin"/>
      </w:r>
      <w:r>
        <w:rPr>
          <w:rFonts w:hint="eastAsia"/>
          <w:color w:val="0000FF"/>
        </w:rPr>
        <w:instrText xml:space="preserve">HYPERLINK "https://www.lac.zju.edu.cn/cms/23012"</w:instrText>
      </w:r>
      <w:r>
        <w:rPr>
          <w:rFonts w:hint="eastAsia"/>
          <w:color w:val="0000FF"/>
        </w:rPr>
        <w:fldChar w:fldCharType="separate"/>
      </w:r>
      <w:r>
        <w:rPr>
          <w:rStyle w:val="17"/>
          <w:rFonts w:hint="eastAsia"/>
          <w:color w:val="0000FF"/>
        </w:rPr>
        <w:t>《实验动物采血指南》</w:t>
      </w:r>
      <w:r>
        <w:rPr>
          <w:rFonts w:hint="eastAsia"/>
          <w:color w:val="0000FF"/>
        </w:rPr>
        <w:fldChar w:fldCharType="end"/>
      </w:r>
      <w:r>
        <w:rPr>
          <w:rFonts w:hint="eastAsia"/>
        </w:rPr>
        <w:t>）</w:t>
      </w:r>
    </w:p>
    <w:p w14:paraId="350689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动物疼痛评估：</w:t>
      </w:r>
    </w:p>
    <w:p w14:paraId="56DA6ED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实验设计如包含存活性手术（动物术后还需复苏），应详细分析手术带来的风险、术后疼痛、创口感染等造成动物应激和动物福利下降等情况等</w:t>
      </w:r>
      <w:r>
        <w:rPr>
          <w:rFonts w:hint="eastAsia"/>
          <w:lang w:eastAsia="zh-CN"/>
        </w:rPr>
        <w:t>。</w:t>
      </w:r>
    </w:p>
    <w:p w14:paraId="14DB961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该实验涉及肿瘤模型建立，荷瘤是否会对动物的运动、摄食摄水带来不便，是否会造成种瘤部位的疼痛和不适，应在此部分具体描述和分析</w:t>
      </w:r>
      <w:r>
        <w:rPr>
          <w:rFonts w:hint="eastAsia"/>
          <w:lang w:eastAsia="zh-CN"/>
        </w:rPr>
        <w:t>。</w:t>
      </w:r>
    </w:p>
    <w:p w14:paraId="47198B4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实验方案涉及动物疾病模型的建立，应具体分析该模型会出现何种表型从而对动物造成哪些病理性伤害</w:t>
      </w:r>
      <w:r>
        <w:rPr>
          <w:rFonts w:hint="eastAsia"/>
          <w:lang w:eastAsia="zh-CN"/>
        </w:rPr>
        <w:t>。</w:t>
      </w:r>
    </w:p>
    <w:p w14:paraId="3A001E7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疼痛或应激反应的级别评价：</w:t>
      </w:r>
      <w:r>
        <w:rPr>
          <w:rFonts w:hint="eastAsia"/>
        </w:rPr>
        <w:t>参考每个疼痛级别后面相应的说明，选择每种动物实验操作将对动物造成的疼痛和应激反应的级别，以便对疼痛管理方案和人道终点提供指导。</w:t>
      </w:r>
    </w:p>
    <w:p w14:paraId="319DC3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疼痛与术后管理：</w:t>
      </w:r>
      <w:r>
        <w:rPr>
          <w:rFonts w:hint="eastAsia"/>
        </w:rPr>
        <w:t>请根据动物的品种、体重、日龄等情况，动物疼痛或应激反应的级别评价以及具体实验设计，选择合适的麻醉剂、镇痛剂和镇静剂，以及剂量、给药途径和持续时间。（如需更多信息，请参考</w:t>
      </w:r>
      <w:r>
        <w:rPr>
          <w:color w:val="0000FF"/>
        </w:rPr>
        <w:fldChar w:fldCharType="begin"/>
      </w:r>
      <w:r>
        <w:rPr>
          <w:color w:val="0000FF"/>
        </w:rPr>
        <w:instrText xml:space="preserve"> HYPERLINK "https://www.lac.zju.edu.cn/cms/13140" </w:instrText>
      </w:r>
      <w:r>
        <w:rPr>
          <w:color w:val="0000FF"/>
        </w:rPr>
        <w:fldChar w:fldCharType="separate"/>
      </w:r>
      <w:r>
        <w:rPr>
          <w:rStyle w:val="17"/>
          <w:rFonts w:hint="eastAsia"/>
          <w:color w:val="0000FF"/>
        </w:rPr>
        <w:t>《</w:t>
      </w:r>
      <w:r>
        <w:rPr>
          <w:rStyle w:val="17"/>
          <w:rFonts w:hint="eastAsia"/>
          <w:color w:val="0000FF"/>
        </w:rPr>
        <w:fldChar w:fldCharType="end"/>
      </w:r>
      <w:r>
        <w:rPr>
          <w:color w:val="0000FF"/>
        </w:rPr>
        <w:fldChar w:fldCharType="begin"/>
      </w:r>
      <w:r>
        <w:rPr>
          <w:color w:val="0000FF"/>
        </w:rPr>
        <w:instrText xml:space="preserve"> HYPERLINK "https://www.lac.zju.edu.cn/cms/13140" </w:instrText>
      </w:r>
      <w:r>
        <w:rPr>
          <w:color w:val="0000FF"/>
        </w:rPr>
        <w:fldChar w:fldCharType="separate"/>
      </w:r>
      <w:r>
        <w:rPr>
          <w:rStyle w:val="17"/>
          <w:rFonts w:hint="eastAsia"/>
          <w:color w:val="0000FF"/>
        </w:rPr>
        <w:t>实验动物麻醉药物使用指南》</w:t>
      </w:r>
      <w:r>
        <w:rPr>
          <w:rStyle w:val="17"/>
          <w:rFonts w:hint="eastAsia"/>
          <w:color w:val="0000FF"/>
        </w:rPr>
        <w:fldChar w:fldCharType="end"/>
      </w:r>
      <w:r>
        <w:rPr>
          <w:rFonts w:hint="eastAsia"/>
        </w:rPr>
        <w:t>）；存活性手术必须考虑动物的术后抗感染护理和镇痛方案，如不施加术后镇痛须详细说明原因。术后管理可能包括动物术后保温、预防术部脱水和感染、加强营养、维持水盐平衡等。</w:t>
      </w:r>
    </w:p>
    <w:p w14:paraId="0C74144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麻醉方案：</w:t>
      </w:r>
    </w:p>
    <w:p w14:paraId="5C39D1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xml:space="preserve">- </w:t>
      </w:r>
      <w:r>
        <w:rPr>
          <w:rFonts w:hint="eastAsia"/>
          <w:u w:val="single"/>
        </w:rPr>
        <w:t>乙醚具有易燃易爆性，不建议使用</w:t>
      </w:r>
      <w:r>
        <w:rPr>
          <w:rFonts w:hint="eastAsia"/>
        </w:rPr>
        <w:t>。建议选择硫喷妥钠</w:t>
      </w:r>
      <w:r>
        <w:rPr>
          <w:rFonts w:hint="eastAsia"/>
          <w:lang w:eastAsia="zh-CN"/>
        </w:rPr>
        <w:t>、</w:t>
      </w:r>
      <w:r>
        <w:rPr>
          <w:rFonts w:hint="eastAsia"/>
          <w:lang w:val="en-US" w:eastAsia="zh-CN"/>
        </w:rPr>
        <w:t>CO</w:t>
      </w:r>
      <w:r>
        <w:rPr>
          <w:rFonts w:hint="eastAsia" w:eastAsiaTheme="minorEastAsia"/>
          <w:sz w:val="21"/>
          <w:vertAlign w:val="subscript"/>
          <w:lang w:val="en-US" w:eastAsia="zh-CN"/>
        </w:rPr>
        <w:t>2</w:t>
      </w:r>
      <w:r>
        <w:rPr>
          <w:rFonts w:hint="eastAsia"/>
        </w:rPr>
        <w:t>或吸入性麻醉剂异氟烷等。如研究者要选择使用乙醚进行动物安乐死时，应具有科学研究的必要性及确认无其他替代方法时才可执行。操作过程须全程在通风橱内操作，操作后也必须将动物尸体置于防爆冰柜内。</w:t>
      </w:r>
    </w:p>
    <w:p w14:paraId="312953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b/>
          <w:bCs/>
          <w:color w:val="FF0000"/>
          <w:lang w:eastAsia="zh-CN"/>
        </w:rPr>
      </w:pPr>
      <w:r>
        <w:rPr>
          <w:rFonts w:hint="eastAsia"/>
        </w:rPr>
        <w:t xml:space="preserve">- </w:t>
      </w:r>
      <w:r>
        <w:rPr>
          <w:rFonts w:hint="eastAsia"/>
          <w:b/>
          <w:bCs/>
          <w:color w:val="FF0000"/>
        </w:rPr>
        <w:t>不可使用水合氯醛作为大小鼠及兔、犬、猫的麻醉/安乐死药剂，因其镇痛效果较差，并且有导致腹膜炎等的副作用，实验过程对动物不人道，不符合实验动物福利；建议选择硫喷妥钠、</w:t>
      </w:r>
      <w:r>
        <w:rPr>
          <w:rFonts w:hint="eastAsia"/>
          <w:b/>
          <w:bCs/>
          <w:color w:val="FF0000"/>
          <w:lang w:val="en-US" w:eastAsia="zh-CN"/>
        </w:rPr>
        <w:t>CO</w:t>
      </w:r>
      <w:r>
        <w:rPr>
          <w:rFonts w:hint="eastAsia" w:eastAsiaTheme="minorEastAsia"/>
          <w:b/>
          <w:bCs/>
          <w:color w:val="FF0000"/>
          <w:sz w:val="21"/>
          <w:vertAlign w:val="subscript"/>
          <w:lang w:val="en-US" w:eastAsia="zh-CN"/>
        </w:rPr>
        <w:t>2</w:t>
      </w:r>
      <w:r>
        <w:rPr>
          <w:rFonts w:hint="eastAsia"/>
          <w:b/>
          <w:bCs/>
          <w:color w:val="FF0000"/>
        </w:rPr>
        <w:t>或吸入性麻醉剂异氟烷等</w:t>
      </w:r>
      <w:r>
        <w:rPr>
          <w:rFonts w:hint="eastAsia"/>
          <w:b/>
          <w:bCs/>
          <w:color w:val="FF0000"/>
          <w:lang w:eastAsia="zh-CN"/>
        </w:rPr>
        <w:t>。</w:t>
      </w:r>
    </w:p>
    <w:p w14:paraId="1983E56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人道终点的指标：</w:t>
      </w:r>
      <w:r>
        <w:rPr>
          <w:rFonts w:hint="eastAsia"/>
        </w:rPr>
        <w:t>即由熟练的实验人员进行该实验，动物在实验过程中可能出现哪些征状，造成动物的健康与福利水平的下降超出可接受范围，必须及时人道地结束动物生命，减少动物痛苦。根据选项描述如实、准确地选择符合实验设计的人道终点指标。例如：肿瘤造瘤实验要考虑荷瘤大小和动物的承受能力，应选择“虚弱”、“肿瘤”等；手术实验应考虑“身体器官感染”、“循环系统衰竭（大出血）”等；化学药物刺激实验应考虑“垂死/濒死”和某些“器官系统衰竭”等。（更多详细内容请参见</w:t>
      </w:r>
      <w:r>
        <w:rPr>
          <w:rFonts w:hint="eastAsia"/>
          <w:color w:val="0000FF"/>
        </w:rPr>
        <w:fldChar w:fldCharType="begin"/>
      </w:r>
      <w:r>
        <w:rPr>
          <w:rFonts w:hint="eastAsia"/>
          <w:color w:val="0000FF"/>
        </w:rPr>
        <w:instrText xml:space="preserve">HYPERLINK "https://www.lac.zju.edu.cn/cms/13136"</w:instrText>
      </w:r>
      <w:r>
        <w:rPr>
          <w:rFonts w:hint="eastAsia"/>
          <w:color w:val="0000FF"/>
        </w:rPr>
        <w:fldChar w:fldCharType="separate"/>
      </w:r>
      <w:r>
        <w:rPr>
          <w:rStyle w:val="17"/>
          <w:rFonts w:hint="eastAsia"/>
          <w:color w:val="0000FF"/>
        </w:rPr>
        <w:t>《实验动物人道终点的衡量》</w:t>
      </w:r>
      <w:r>
        <w:rPr>
          <w:rFonts w:hint="eastAsia"/>
          <w:color w:val="0000FF"/>
        </w:rPr>
        <w:fldChar w:fldCharType="end"/>
      </w:r>
    </w:p>
    <w:p w14:paraId="7403CA1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动物安乐死处理：</w:t>
      </w:r>
      <w:r>
        <w:rPr>
          <w:rFonts w:hint="eastAsia"/>
        </w:rPr>
        <w:t>根据</w:t>
      </w:r>
      <w:r>
        <w:rPr>
          <w:color w:val="0000FF"/>
        </w:rPr>
        <w:fldChar w:fldCharType="begin"/>
      </w:r>
      <w:r>
        <w:rPr>
          <w:color w:val="0000FF"/>
        </w:rPr>
        <w:instrText xml:space="preserve"> HYPERLINK "https://www.lac.zju.edu.cn/cms/13135" </w:instrText>
      </w:r>
      <w:r>
        <w:rPr>
          <w:color w:val="0000FF"/>
        </w:rPr>
        <w:fldChar w:fldCharType="separate"/>
      </w:r>
      <w:r>
        <w:rPr>
          <w:rStyle w:val="17"/>
          <w:rFonts w:hint="eastAsia"/>
          <w:color w:val="0000FF"/>
        </w:rPr>
        <w:t>《常用动物安乐死方法》</w:t>
      </w:r>
      <w:r>
        <w:rPr>
          <w:rStyle w:val="17"/>
          <w:rFonts w:hint="eastAsia"/>
          <w:color w:val="0000FF"/>
        </w:rPr>
        <w:fldChar w:fldCharType="end"/>
      </w:r>
      <w:r>
        <w:rPr>
          <w:rFonts w:hint="eastAsia"/>
        </w:rPr>
        <w:t>中的表格选择合适的动物安乐死方法。</w:t>
      </w:r>
    </w:p>
    <w:p w14:paraId="506D17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一般情况大小鼠建议采用CO</w:t>
      </w:r>
      <w:r>
        <w:rPr>
          <w:rFonts w:hint="eastAsia"/>
          <w:vertAlign w:val="subscript"/>
        </w:rPr>
        <w:t>2</w:t>
      </w:r>
      <w:r>
        <w:rPr>
          <w:rFonts w:hint="eastAsia"/>
        </w:rPr>
        <w:t>灌注法、麻醉后颈椎脱臼法进行安乐死；兔、猪、牛、羊等建议采用过量麻醉后开胸或麻醉后放血；犬、猫、非人灵长类等建议采用过量麻醉后注射KCl。其他动物可咨询兽医</w:t>
      </w:r>
    </w:p>
    <w:p w14:paraId="0432CFD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使用过量麻醉进行动物安乐死时，应在给药10分钟后再次确认动物的生命体征，判断动物已经完全死亡，建议术后追加物理方法（开胸、断头、颈椎脱臼等）。</w:t>
      </w:r>
    </w:p>
    <w:p w14:paraId="2C5B820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- 10日龄以下乳鼠和兔子不推荐使用CO</w:t>
      </w:r>
      <w:r>
        <w:rPr>
          <w:rFonts w:hint="eastAsia"/>
          <w:vertAlign w:val="subscript"/>
        </w:rPr>
        <w:t>2</w:t>
      </w:r>
      <w:r>
        <w:rPr>
          <w:rFonts w:hint="eastAsia"/>
        </w:rPr>
        <w:t>灌注法进行安乐死，因为其对高浓度CO</w:t>
      </w:r>
      <w:r>
        <w:rPr>
          <w:rFonts w:hint="eastAsia"/>
          <w:vertAlign w:val="subscript"/>
        </w:rPr>
        <w:t>2</w:t>
      </w:r>
      <w:r>
        <w:rPr>
          <w:rFonts w:hint="eastAsia"/>
        </w:rPr>
        <w:t>耐受，会延长痛苦时间。</w:t>
      </w:r>
    </w:p>
    <w:p w14:paraId="4D9939F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xml:space="preserve">- </w:t>
      </w:r>
      <w:r>
        <w:rPr>
          <w:rFonts w:hint="eastAsia"/>
          <w:u w:val="single"/>
        </w:rPr>
        <w:t>不可使用水合氯醛作为大小鼠及兔、犬、猫的麻醉/安乐死药剂，</w:t>
      </w:r>
      <w:r>
        <w:rPr>
          <w:rFonts w:hint="eastAsia"/>
        </w:rPr>
        <w:t>因其镇痛效果较差，并且有导致腹膜炎等的副作用，实验过程对动物不人道，不符合实验动物福利。</w:t>
      </w:r>
    </w:p>
    <w:p w14:paraId="0A517B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如涉及非人灵长类的使用，应着重说明是否在实验终点时执行安乐死（即为实现该实验目的必须牺牲动物）或只有动物达到人道终点时才执行安乐死。</w:t>
      </w:r>
    </w:p>
    <w:p w14:paraId="72F2C4E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如必须采用动物清醒时颈椎脱臼或断头方法处死动物，应详细说明科学性理由，以及为何不可用麻醉后颈椎脱臼的方式，并提供相应操作者的资质；</w:t>
      </w:r>
    </w:p>
    <w:p w14:paraId="6712DD0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w:t>
      </w:r>
    </w:p>
    <w:p w14:paraId="476B8461"/>
    <w:p w14:paraId="4BCDC3C0">
      <w:bookmarkStart w:id="0" w:name="_GoBack"/>
      <w:bookmarkEnd w:id="0"/>
    </w:p>
    <w:p w14:paraId="5C7EB494">
      <w:pPr>
        <w:jc w:val="center"/>
        <w:rPr>
          <w:rFonts w:ascii="黑体" w:hAnsi="黑体" w:eastAsia="黑体"/>
          <w:b/>
          <w:bCs/>
          <w:color w:val="0070C0"/>
          <w:sz w:val="32"/>
          <w:szCs w:val="32"/>
        </w:rPr>
      </w:pPr>
      <w:r>
        <w:rPr>
          <w:rFonts w:hint="eastAsia" w:ascii="黑体" w:hAnsi="黑体" w:eastAsia="黑体"/>
          <w:b/>
          <w:bCs/>
          <w:color w:val="0070C0"/>
          <w:sz w:val="32"/>
          <w:szCs w:val="32"/>
        </w:rPr>
        <w:t>实验动物采血指南</w:t>
      </w:r>
    </w:p>
    <w:p w14:paraId="141292ED">
      <w:pPr>
        <w:rPr>
          <w:rFonts w:hint="eastAsia" w:ascii="宋体" w:hAnsi="宋体" w:eastAsia="宋体" w:cs="宋体"/>
          <w:b w:val="0"/>
          <w:bCs w:val="0"/>
          <w:sz w:val="21"/>
          <w:szCs w:val="21"/>
        </w:rPr>
      </w:pPr>
      <w:r>
        <w:rPr>
          <w:rFonts w:hint="eastAsia" w:ascii="宋体" w:hAnsi="宋体" w:eastAsia="宋体" w:cs="宋体"/>
          <w:b w:val="0"/>
          <w:bCs w:val="0"/>
          <w:sz w:val="21"/>
          <w:szCs w:val="21"/>
        </w:rPr>
        <w:t>一、血液采集一般知识</w:t>
      </w:r>
    </w:p>
    <w:p w14:paraId="279B4386">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对动物的终末和非终末采血技术（如麻醉，取血体积）是有区别的，终末采血指的是以动物死亡为实验结束时采血与在清醒动物身上单次或多次采血的情况是迥然不同的。</w:t>
      </w:r>
    </w:p>
    <w:p w14:paraId="0A7A32B7">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实验过程中减少动物的疼痛不安和获得预期实验结果一样重要。这不仅是出于人道主义，而且也是良好科学实践所要求的内容。因某一特定采血技术给动物带来的不安可能会使动物产生应激，而伴随应激反应出现的许多生化和生理上的改变会影响实验结果，如血中儿茶酚胺类、催乳素和糖皮质激素的升高会影响葡萄糖、红细胞数、白细胞数和细胞压积等一些代谢参数。所以如果不能完全排除应激，那么也应将应激降至最小程度。这不只是为动物考虑，也是为获得良好的科学数据。在非终末采血中，不要抽血太多，因为取血过多会减少总血量而导致错误结果。总血量的减少会使血红蛋白含量、氧转运能力和血压下降，同时使应激相关激素浓度升高，也可能进一步诱发其他变化，如胃粘膜坏死等。</w:t>
      </w:r>
    </w:p>
    <w:p w14:paraId="0CF85174">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非终末采血可分为单次和多次采血，单次采血量低于动物总血量的15%对动物不会有明显影响。然而，若取血量为总血量的15%~20%时，则会出现心排血量或血压降低。取总血量的30%~40%会引起缺血性休克。若取血达40%可引起约50%的猪和大鼠死亡。</w:t>
      </w:r>
    </w:p>
    <w:p w14:paraId="2D5980BF">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单次采血不超过动物总血量的15%时，可在3~4周后重复采血。长期多次采血每24h不应超过总血量的1%(0.6ml/kg/d)。采集次数和(或)采血量过多则引起贫血。</w:t>
      </w:r>
    </w:p>
    <w:p w14:paraId="5DACDC4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对大、小鼠如采血量不超过0.1ml时，常用尾尖采血法。眼眶静脉丛穿刺通常适用于无尾动物如仓鼠。当尾静脉不能满足较大的采血量时，大、小鼠也可用此技术。一般要求在麻醉下操作。只有当没有别的方法的特殊情况下，2周后才能考虑在已恢复正常的动物的眼眶静脉丛再次取血。这项技术应由训练良好的工作人员来操作，而且只能用动物的一只眼睛。不赞成在无麻醉条件下，用眼球摘除法取血。</w:t>
      </w:r>
    </w:p>
    <w:p w14:paraId="4B8C69A9">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在毒代动力学研究中，大鼠采血可采用:尾静脉、趾脉管系、全麻下心脏穿刺、全麻下颈外静脉和颈总动脉插管。</w:t>
      </w:r>
    </w:p>
    <w:p w14:paraId="64BE639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兔和豚鼠可用耳缘静脉、颈静脉或隐静脉。较大动物的采血可从浅表静脉进行(隐静脉、头静脉、颈静脉)</w:t>
      </w:r>
    </w:p>
    <w:p w14:paraId="60B5DF08">
      <w:pPr>
        <w:rPr>
          <w:rFonts w:hint="eastAsia" w:ascii="宋体" w:hAnsi="宋体" w:eastAsia="宋体" w:cs="宋体"/>
          <w:b w:val="0"/>
          <w:bCs w:val="0"/>
          <w:sz w:val="21"/>
          <w:szCs w:val="21"/>
        </w:rPr>
      </w:pPr>
      <w:r>
        <w:rPr>
          <w:rFonts w:hint="eastAsia" w:ascii="宋体" w:hAnsi="宋体" w:eastAsia="宋体" w:cs="宋体"/>
          <w:b w:val="0"/>
          <w:bCs w:val="0"/>
          <w:sz w:val="21"/>
          <w:szCs w:val="21"/>
        </w:rPr>
        <w:t>二、循环血量</w:t>
      </w:r>
    </w:p>
    <w:p w14:paraId="3C3A245A">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血液总量取决于物种、性别、年龄、健康及营养状况。对于同一种物种，较大动物单位体重的总血量比较小的动物要少，老龄和肥胖动物单位体重含总血量少于年轻和正常体重的动物。一般情况下，总循环血量为55~77ml/kg体重。</w:t>
      </w:r>
    </w:p>
    <w:p w14:paraId="1D91607F">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采血量的最大限值的计算，主要依赖于关于循环血量的精确数据。文献综述表明循环血量的数值有很大的差异，或许这可归因于所用的采血方法、动物品系和性别等方面的差别。</w:t>
      </w:r>
    </w:p>
    <w:p w14:paraId="598DA19B">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表1中给出了安全性评价研究中常用的不同种属动物的循环血量，以及在毒理学研究中极为常用的狨猴和小型猪的数据。所列数值来源不同，但均为成年、健康和处于适当营养水平的动物。</w:t>
      </w:r>
    </w:p>
    <w:p w14:paraId="559F6DB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表1 不同种属动物的循环血量</w:t>
      </w:r>
    </w:p>
    <w:tbl>
      <w:tblPr>
        <w:tblStyle w:val="14"/>
        <w:tblW w:w="8214" w:type="dxa"/>
        <w:tblInd w:w="0"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autofit"/>
        <w:tblCellMar>
          <w:top w:w="0" w:type="dxa"/>
          <w:left w:w="0" w:type="dxa"/>
          <w:bottom w:w="0" w:type="dxa"/>
          <w:right w:w="0" w:type="dxa"/>
        </w:tblCellMar>
      </w:tblPr>
      <w:tblGrid>
        <w:gridCol w:w="2686"/>
        <w:gridCol w:w="2693"/>
        <w:gridCol w:w="2835"/>
      </w:tblGrid>
      <w:tr w14:paraId="2A02EEF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vMerge w:val="restart"/>
            <w:tcBorders>
              <w:top w:val="outset" w:color="auto" w:sz="6" w:space="0"/>
              <w:left w:val="outset" w:color="auto" w:sz="6" w:space="0"/>
              <w:bottom w:val="outset" w:color="auto" w:sz="6" w:space="0"/>
              <w:right w:val="outset" w:color="auto" w:sz="6" w:space="0"/>
            </w:tcBorders>
            <w:vAlign w:val="center"/>
          </w:tcPr>
          <w:p w14:paraId="537D4350">
            <w:pPr>
              <w:rPr>
                <w:rFonts w:hint="eastAsia" w:ascii="宋体" w:hAnsi="宋体" w:eastAsia="宋体" w:cs="宋体"/>
                <w:b w:val="0"/>
                <w:bCs w:val="0"/>
                <w:sz w:val="21"/>
                <w:szCs w:val="21"/>
              </w:rPr>
            </w:pPr>
            <w:r>
              <w:rPr>
                <w:rFonts w:hint="eastAsia" w:ascii="宋体" w:hAnsi="宋体" w:eastAsia="宋体" w:cs="宋体"/>
                <w:b w:val="0"/>
                <w:bCs w:val="0"/>
                <w:sz w:val="21"/>
                <w:szCs w:val="21"/>
              </w:rPr>
              <w:t>种属</w:t>
            </w:r>
          </w:p>
        </w:tc>
        <w:tc>
          <w:tcPr>
            <w:tcW w:w="5528" w:type="dxa"/>
            <w:gridSpan w:val="2"/>
            <w:tcBorders>
              <w:top w:val="outset" w:color="auto" w:sz="6" w:space="0"/>
              <w:left w:val="outset" w:color="auto" w:sz="6" w:space="0"/>
              <w:bottom w:val="outset" w:color="auto" w:sz="6" w:space="0"/>
              <w:right w:val="outset" w:color="auto" w:sz="6" w:space="0"/>
            </w:tcBorders>
            <w:vAlign w:val="center"/>
          </w:tcPr>
          <w:p w14:paraId="078C3CBE">
            <w:pPr>
              <w:rPr>
                <w:rFonts w:hint="eastAsia" w:ascii="宋体" w:hAnsi="宋体" w:eastAsia="宋体" w:cs="宋体"/>
                <w:b w:val="0"/>
                <w:bCs w:val="0"/>
                <w:sz w:val="21"/>
                <w:szCs w:val="21"/>
              </w:rPr>
            </w:pPr>
            <w:r>
              <w:rPr>
                <w:rFonts w:hint="eastAsia" w:ascii="宋体" w:hAnsi="宋体" w:eastAsia="宋体" w:cs="宋体"/>
                <w:b w:val="0"/>
                <w:bCs w:val="0"/>
                <w:sz w:val="21"/>
                <w:szCs w:val="21"/>
              </w:rPr>
              <w:t>血量(ml/kg)</w:t>
            </w:r>
          </w:p>
        </w:tc>
      </w:tr>
      <w:tr w14:paraId="24F1D75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vMerge w:val="continue"/>
            <w:tcBorders>
              <w:top w:val="outset" w:color="auto" w:sz="6" w:space="0"/>
              <w:left w:val="outset" w:color="auto" w:sz="6" w:space="0"/>
              <w:bottom w:val="outset" w:color="auto" w:sz="6" w:space="0"/>
              <w:right w:val="outset" w:color="auto" w:sz="6" w:space="0"/>
            </w:tcBorders>
            <w:vAlign w:val="center"/>
          </w:tcPr>
          <w:p w14:paraId="4D970899">
            <w:pPr>
              <w:rPr>
                <w:rFonts w:hint="eastAsia" w:ascii="宋体" w:hAnsi="宋体" w:eastAsia="宋体" w:cs="宋体"/>
                <w:b w:val="0"/>
                <w:bCs w:val="0"/>
                <w:sz w:val="21"/>
                <w:szCs w:val="21"/>
              </w:rPr>
            </w:pPr>
          </w:p>
        </w:tc>
        <w:tc>
          <w:tcPr>
            <w:tcW w:w="2693" w:type="dxa"/>
            <w:tcBorders>
              <w:top w:val="outset" w:color="auto" w:sz="6" w:space="0"/>
              <w:left w:val="outset" w:color="auto" w:sz="6" w:space="0"/>
              <w:bottom w:val="outset" w:color="auto" w:sz="6" w:space="0"/>
              <w:right w:val="outset" w:color="auto" w:sz="6" w:space="0"/>
            </w:tcBorders>
            <w:vAlign w:val="center"/>
          </w:tcPr>
          <w:p w14:paraId="3631A143">
            <w:pPr>
              <w:rPr>
                <w:rFonts w:hint="eastAsia" w:ascii="宋体" w:hAnsi="宋体" w:eastAsia="宋体" w:cs="宋体"/>
                <w:b w:val="0"/>
                <w:bCs w:val="0"/>
                <w:sz w:val="21"/>
                <w:szCs w:val="21"/>
              </w:rPr>
            </w:pPr>
            <w:r>
              <w:rPr>
                <w:rFonts w:hint="eastAsia" w:ascii="宋体" w:hAnsi="宋体" w:eastAsia="宋体" w:cs="宋体"/>
                <w:b w:val="0"/>
                <w:bCs w:val="0"/>
                <w:sz w:val="21"/>
                <w:szCs w:val="21"/>
              </w:rPr>
              <w:t>推荐均数</w:t>
            </w:r>
          </w:p>
        </w:tc>
        <w:tc>
          <w:tcPr>
            <w:tcW w:w="2835" w:type="dxa"/>
            <w:tcBorders>
              <w:top w:val="outset" w:color="auto" w:sz="6" w:space="0"/>
              <w:left w:val="outset" w:color="auto" w:sz="6" w:space="0"/>
              <w:bottom w:val="outset" w:color="auto" w:sz="6" w:space="0"/>
              <w:right w:val="outset" w:color="auto" w:sz="6" w:space="0"/>
            </w:tcBorders>
            <w:vAlign w:val="center"/>
          </w:tcPr>
          <w:p w14:paraId="29044C5A">
            <w:pPr>
              <w:rPr>
                <w:rFonts w:hint="eastAsia" w:ascii="宋体" w:hAnsi="宋体" w:eastAsia="宋体" w:cs="宋体"/>
                <w:b w:val="0"/>
                <w:bCs w:val="0"/>
                <w:sz w:val="21"/>
                <w:szCs w:val="21"/>
              </w:rPr>
            </w:pPr>
            <w:r>
              <w:rPr>
                <w:rFonts w:hint="eastAsia" w:ascii="宋体" w:hAnsi="宋体" w:eastAsia="宋体" w:cs="宋体"/>
                <w:b w:val="0"/>
                <w:bCs w:val="0"/>
                <w:sz w:val="21"/>
                <w:szCs w:val="21"/>
              </w:rPr>
              <w:t>数值范围</w:t>
            </w:r>
          </w:p>
        </w:tc>
      </w:tr>
      <w:tr w14:paraId="2A04CC58">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6CDED262">
            <w:pPr>
              <w:rPr>
                <w:rFonts w:hint="eastAsia" w:ascii="宋体" w:hAnsi="宋体" w:eastAsia="宋体" w:cs="宋体"/>
                <w:b w:val="0"/>
                <w:bCs w:val="0"/>
                <w:sz w:val="21"/>
                <w:szCs w:val="21"/>
              </w:rPr>
            </w:pPr>
            <w:r>
              <w:rPr>
                <w:rFonts w:hint="eastAsia" w:ascii="宋体" w:hAnsi="宋体" w:eastAsia="宋体" w:cs="宋体"/>
                <w:b w:val="0"/>
                <w:bCs w:val="0"/>
                <w:sz w:val="21"/>
                <w:szCs w:val="21"/>
              </w:rPr>
              <w:t>小鼠</w:t>
            </w:r>
          </w:p>
        </w:tc>
        <w:tc>
          <w:tcPr>
            <w:tcW w:w="2693" w:type="dxa"/>
            <w:tcBorders>
              <w:top w:val="outset" w:color="auto" w:sz="6" w:space="0"/>
              <w:left w:val="outset" w:color="auto" w:sz="6" w:space="0"/>
              <w:bottom w:val="outset" w:color="auto" w:sz="6" w:space="0"/>
              <w:right w:val="outset" w:color="auto" w:sz="6" w:space="0"/>
            </w:tcBorders>
            <w:vAlign w:val="center"/>
          </w:tcPr>
          <w:p w14:paraId="3B39F921">
            <w:pPr>
              <w:rPr>
                <w:rFonts w:hint="eastAsia" w:ascii="宋体" w:hAnsi="宋体" w:eastAsia="宋体" w:cs="宋体"/>
                <w:b w:val="0"/>
                <w:bCs w:val="0"/>
                <w:sz w:val="21"/>
                <w:szCs w:val="21"/>
              </w:rPr>
            </w:pPr>
            <w:r>
              <w:rPr>
                <w:rFonts w:hint="eastAsia" w:ascii="宋体" w:hAnsi="宋体" w:eastAsia="宋体" w:cs="宋体"/>
                <w:b w:val="0"/>
                <w:bCs w:val="0"/>
                <w:sz w:val="21"/>
                <w:szCs w:val="21"/>
              </w:rPr>
              <w:t>72</w:t>
            </w:r>
          </w:p>
        </w:tc>
        <w:tc>
          <w:tcPr>
            <w:tcW w:w="2835" w:type="dxa"/>
            <w:tcBorders>
              <w:top w:val="outset" w:color="auto" w:sz="6" w:space="0"/>
              <w:left w:val="outset" w:color="auto" w:sz="6" w:space="0"/>
              <w:bottom w:val="outset" w:color="auto" w:sz="6" w:space="0"/>
              <w:right w:val="outset" w:color="auto" w:sz="6" w:space="0"/>
            </w:tcBorders>
            <w:vAlign w:val="center"/>
          </w:tcPr>
          <w:p w14:paraId="3A1746D2">
            <w:pPr>
              <w:rPr>
                <w:rFonts w:hint="eastAsia" w:ascii="宋体" w:hAnsi="宋体" w:eastAsia="宋体" w:cs="宋体"/>
                <w:b w:val="0"/>
                <w:bCs w:val="0"/>
                <w:sz w:val="21"/>
                <w:szCs w:val="21"/>
              </w:rPr>
            </w:pPr>
            <w:r>
              <w:rPr>
                <w:rFonts w:hint="eastAsia" w:ascii="宋体" w:hAnsi="宋体" w:eastAsia="宋体" w:cs="宋体"/>
                <w:b w:val="0"/>
                <w:bCs w:val="0"/>
                <w:sz w:val="21"/>
                <w:szCs w:val="21"/>
              </w:rPr>
              <w:t>63-80</w:t>
            </w:r>
          </w:p>
        </w:tc>
      </w:tr>
      <w:tr w14:paraId="3C8B91C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15200E95">
            <w:pPr>
              <w:rPr>
                <w:rFonts w:hint="eastAsia" w:ascii="宋体" w:hAnsi="宋体" w:eastAsia="宋体" w:cs="宋体"/>
                <w:b w:val="0"/>
                <w:bCs w:val="0"/>
                <w:sz w:val="21"/>
                <w:szCs w:val="21"/>
              </w:rPr>
            </w:pPr>
            <w:r>
              <w:rPr>
                <w:rFonts w:hint="eastAsia" w:ascii="宋体" w:hAnsi="宋体" w:eastAsia="宋体" w:cs="宋体"/>
                <w:b w:val="0"/>
                <w:bCs w:val="0"/>
                <w:sz w:val="21"/>
                <w:szCs w:val="21"/>
              </w:rPr>
              <w:t>大鼠</w:t>
            </w:r>
          </w:p>
        </w:tc>
        <w:tc>
          <w:tcPr>
            <w:tcW w:w="2693" w:type="dxa"/>
            <w:tcBorders>
              <w:top w:val="outset" w:color="auto" w:sz="6" w:space="0"/>
              <w:left w:val="outset" w:color="auto" w:sz="6" w:space="0"/>
              <w:bottom w:val="outset" w:color="auto" w:sz="6" w:space="0"/>
              <w:right w:val="outset" w:color="auto" w:sz="6" w:space="0"/>
            </w:tcBorders>
            <w:vAlign w:val="center"/>
          </w:tcPr>
          <w:p w14:paraId="09DC2FF7">
            <w:pPr>
              <w:rPr>
                <w:rFonts w:hint="eastAsia" w:ascii="宋体" w:hAnsi="宋体" w:eastAsia="宋体" w:cs="宋体"/>
                <w:b w:val="0"/>
                <w:bCs w:val="0"/>
                <w:sz w:val="21"/>
                <w:szCs w:val="21"/>
              </w:rPr>
            </w:pPr>
            <w:r>
              <w:rPr>
                <w:rFonts w:hint="eastAsia" w:ascii="宋体" w:hAnsi="宋体" w:eastAsia="宋体" w:cs="宋体"/>
                <w:b w:val="0"/>
                <w:bCs w:val="0"/>
                <w:sz w:val="21"/>
                <w:szCs w:val="21"/>
              </w:rPr>
              <w:t>64</w:t>
            </w:r>
          </w:p>
        </w:tc>
        <w:tc>
          <w:tcPr>
            <w:tcW w:w="2835" w:type="dxa"/>
            <w:tcBorders>
              <w:top w:val="outset" w:color="auto" w:sz="6" w:space="0"/>
              <w:left w:val="outset" w:color="auto" w:sz="6" w:space="0"/>
              <w:bottom w:val="outset" w:color="auto" w:sz="6" w:space="0"/>
              <w:right w:val="outset" w:color="auto" w:sz="6" w:space="0"/>
            </w:tcBorders>
            <w:vAlign w:val="center"/>
          </w:tcPr>
          <w:p w14:paraId="5F28D54B">
            <w:pPr>
              <w:rPr>
                <w:rFonts w:hint="eastAsia" w:ascii="宋体" w:hAnsi="宋体" w:eastAsia="宋体" w:cs="宋体"/>
                <w:b w:val="0"/>
                <w:bCs w:val="0"/>
                <w:sz w:val="21"/>
                <w:szCs w:val="21"/>
              </w:rPr>
            </w:pPr>
            <w:r>
              <w:rPr>
                <w:rFonts w:hint="eastAsia" w:ascii="宋体" w:hAnsi="宋体" w:eastAsia="宋体" w:cs="宋体"/>
                <w:b w:val="0"/>
                <w:bCs w:val="0"/>
                <w:sz w:val="21"/>
                <w:szCs w:val="21"/>
              </w:rPr>
              <w:t>58-70</w:t>
            </w:r>
          </w:p>
        </w:tc>
      </w:tr>
      <w:tr w14:paraId="2AC2C23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5164A94E">
            <w:pPr>
              <w:rPr>
                <w:rFonts w:hint="eastAsia" w:ascii="宋体" w:hAnsi="宋体" w:eastAsia="宋体" w:cs="宋体"/>
                <w:b w:val="0"/>
                <w:bCs w:val="0"/>
                <w:sz w:val="21"/>
                <w:szCs w:val="21"/>
              </w:rPr>
            </w:pPr>
            <w:r>
              <w:rPr>
                <w:rFonts w:hint="eastAsia" w:ascii="宋体" w:hAnsi="宋体" w:eastAsia="宋体" w:cs="宋体"/>
                <w:b w:val="0"/>
                <w:bCs w:val="0"/>
                <w:sz w:val="21"/>
                <w:szCs w:val="21"/>
              </w:rPr>
              <w:t>家兔</w:t>
            </w:r>
          </w:p>
        </w:tc>
        <w:tc>
          <w:tcPr>
            <w:tcW w:w="2693" w:type="dxa"/>
            <w:tcBorders>
              <w:top w:val="outset" w:color="auto" w:sz="6" w:space="0"/>
              <w:left w:val="outset" w:color="auto" w:sz="6" w:space="0"/>
              <w:bottom w:val="outset" w:color="auto" w:sz="6" w:space="0"/>
              <w:right w:val="outset" w:color="auto" w:sz="6" w:space="0"/>
            </w:tcBorders>
            <w:vAlign w:val="center"/>
          </w:tcPr>
          <w:p w14:paraId="1DBFF4A6">
            <w:pP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c>
          <w:tcPr>
            <w:tcW w:w="2835" w:type="dxa"/>
            <w:tcBorders>
              <w:top w:val="outset" w:color="auto" w:sz="6" w:space="0"/>
              <w:left w:val="outset" w:color="auto" w:sz="6" w:space="0"/>
              <w:bottom w:val="outset" w:color="auto" w:sz="6" w:space="0"/>
              <w:right w:val="outset" w:color="auto" w:sz="6" w:space="0"/>
            </w:tcBorders>
            <w:vAlign w:val="center"/>
          </w:tcPr>
          <w:p w14:paraId="68193994">
            <w:pPr>
              <w:rPr>
                <w:rFonts w:hint="eastAsia" w:ascii="宋体" w:hAnsi="宋体" w:eastAsia="宋体" w:cs="宋体"/>
                <w:b w:val="0"/>
                <w:bCs w:val="0"/>
                <w:sz w:val="21"/>
                <w:szCs w:val="21"/>
              </w:rPr>
            </w:pPr>
            <w:r>
              <w:rPr>
                <w:rFonts w:hint="eastAsia" w:ascii="宋体" w:hAnsi="宋体" w:eastAsia="宋体" w:cs="宋体"/>
                <w:b w:val="0"/>
                <w:bCs w:val="0"/>
                <w:sz w:val="21"/>
                <w:szCs w:val="21"/>
              </w:rPr>
              <w:t>44-70</w:t>
            </w:r>
          </w:p>
        </w:tc>
      </w:tr>
      <w:tr w14:paraId="3D31BEE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0CA1EE49">
            <w:pPr>
              <w:rPr>
                <w:rFonts w:hint="eastAsia" w:ascii="宋体" w:hAnsi="宋体" w:eastAsia="宋体" w:cs="宋体"/>
                <w:b w:val="0"/>
                <w:bCs w:val="0"/>
                <w:sz w:val="21"/>
                <w:szCs w:val="21"/>
              </w:rPr>
            </w:pPr>
            <w:r>
              <w:rPr>
                <w:rFonts w:hint="eastAsia" w:ascii="宋体" w:hAnsi="宋体" w:eastAsia="宋体" w:cs="宋体"/>
                <w:b w:val="0"/>
                <w:bCs w:val="0"/>
                <w:sz w:val="21"/>
                <w:szCs w:val="21"/>
              </w:rPr>
              <w:t>狗(Beagle)</w:t>
            </w:r>
          </w:p>
        </w:tc>
        <w:tc>
          <w:tcPr>
            <w:tcW w:w="2693" w:type="dxa"/>
            <w:tcBorders>
              <w:top w:val="outset" w:color="auto" w:sz="6" w:space="0"/>
              <w:left w:val="outset" w:color="auto" w:sz="6" w:space="0"/>
              <w:bottom w:val="outset" w:color="auto" w:sz="6" w:space="0"/>
              <w:right w:val="outset" w:color="auto" w:sz="6" w:space="0"/>
            </w:tcBorders>
            <w:vAlign w:val="center"/>
          </w:tcPr>
          <w:p w14:paraId="3B3F1760">
            <w:pPr>
              <w:rPr>
                <w:rFonts w:hint="eastAsia" w:ascii="宋体" w:hAnsi="宋体" w:eastAsia="宋体" w:cs="宋体"/>
                <w:b w:val="0"/>
                <w:bCs w:val="0"/>
                <w:sz w:val="21"/>
                <w:szCs w:val="21"/>
              </w:rPr>
            </w:pPr>
            <w:r>
              <w:rPr>
                <w:rFonts w:hint="eastAsia" w:ascii="宋体" w:hAnsi="宋体" w:eastAsia="宋体" w:cs="宋体"/>
                <w:b w:val="0"/>
                <w:bCs w:val="0"/>
                <w:sz w:val="21"/>
                <w:szCs w:val="21"/>
              </w:rPr>
              <w:t>85</w:t>
            </w:r>
          </w:p>
        </w:tc>
        <w:tc>
          <w:tcPr>
            <w:tcW w:w="2835" w:type="dxa"/>
            <w:tcBorders>
              <w:top w:val="outset" w:color="auto" w:sz="6" w:space="0"/>
              <w:left w:val="outset" w:color="auto" w:sz="6" w:space="0"/>
              <w:bottom w:val="outset" w:color="auto" w:sz="6" w:space="0"/>
              <w:right w:val="outset" w:color="auto" w:sz="6" w:space="0"/>
            </w:tcBorders>
            <w:vAlign w:val="center"/>
          </w:tcPr>
          <w:p w14:paraId="7E7081D5">
            <w:pPr>
              <w:rPr>
                <w:rFonts w:hint="eastAsia" w:ascii="宋体" w:hAnsi="宋体" w:eastAsia="宋体" w:cs="宋体"/>
                <w:b w:val="0"/>
                <w:bCs w:val="0"/>
                <w:sz w:val="21"/>
                <w:szCs w:val="21"/>
              </w:rPr>
            </w:pPr>
            <w:r>
              <w:rPr>
                <w:rFonts w:hint="eastAsia" w:ascii="宋体" w:hAnsi="宋体" w:eastAsia="宋体" w:cs="宋体"/>
                <w:b w:val="0"/>
                <w:bCs w:val="0"/>
                <w:sz w:val="21"/>
                <w:szCs w:val="21"/>
              </w:rPr>
              <w:t>79-90</w:t>
            </w:r>
          </w:p>
        </w:tc>
      </w:tr>
      <w:tr w14:paraId="22591D2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3875FEA2">
            <w:pPr>
              <w:rPr>
                <w:rFonts w:hint="eastAsia" w:ascii="宋体" w:hAnsi="宋体" w:eastAsia="宋体" w:cs="宋体"/>
                <w:b w:val="0"/>
                <w:bCs w:val="0"/>
                <w:sz w:val="21"/>
                <w:szCs w:val="21"/>
              </w:rPr>
            </w:pPr>
            <w:r>
              <w:rPr>
                <w:rFonts w:hint="eastAsia" w:ascii="宋体" w:hAnsi="宋体" w:eastAsia="宋体" w:cs="宋体"/>
                <w:b w:val="0"/>
                <w:bCs w:val="0"/>
                <w:sz w:val="21"/>
                <w:szCs w:val="21"/>
              </w:rPr>
              <w:t>猴(恒河猴)</w:t>
            </w:r>
          </w:p>
        </w:tc>
        <w:tc>
          <w:tcPr>
            <w:tcW w:w="2693" w:type="dxa"/>
            <w:tcBorders>
              <w:top w:val="outset" w:color="auto" w:sz="6" w:space="0"/>
              <w:left w:val="outset" w:color="auto" w:sz="6" w:space="0"/>
              <w:bottom w:val="outset" w:color="auto" w:sz="6" w:space="0"/>
              <w:right w:val="outset" w:color="auto" w:sz="6" w:space="0"/>
            </w:tcBorders>
            <w:vAlign w:val="center"/>
          </w:tcPr>
          <w:p w14:paraId="21B66EB6">
            <w:pP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c>
          <w:tcPr>
            <w:tcW w:w="2835" w:type="dxa"/>
            <w:tcBorders>
              <w:top w:val="outset" w:color="auto" w:sz="6" w:space="0"/>
              <w:left w:val="outset" w:color="auto" w:sz="6" w:space="0"/>
              <w:bottom w:val="outset" w:color="auto" w:sz="6" w:space="0"/>
              <w:right w:val="outset" w:color="auto" w:sz="6" w:space="0"/>
            </w:tcBorders>
            <w:vAlign w:val="center"/>
          </w:tcPr>
          <w:p w14:paraId="6EC1F822">
            <w:pPr>
              <w:rPr>
                <w:rFonts w:hint="eastAsia" w:ascii="宋体" w:hAnsi="宋体" w:eastAsia="宋体" w:cs="宋体"/>
                <w:b w:val="0"/>
                <w:bCs w:val="0"/>
                <w:sz w:val="21"/>
                <w:szCs w:val="21"/>
              </w:rPr>
            </w:pPr>
            <w:r>
              <w:rPr>
                <w:rFonts w:hint="eastAsia" w:ascii="宋体" w:hAnsi="宋体" w:eastAsia="宋体" w:cs="宋体"/>
                <w:b w:val="0"/>
                <w:bCs w:val="0"/>
                <w:sz w:val="21"/>
                <w:szCs w:val="21"/>
              </w:rPr>
              <w:t>44-67</w:t>
            </w:r>
          </w:p>
        </w:tc>
      </w:tr>
      <w:tr w14:paraId="01B4301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4FC00AC1">
            <w:pPr>
              <w:rPr>
                <w:rFonts w:hint="eastAsia" w:ascii="宋体" w:hAnsi="宋体" w:eastAsia="宋体" w:cs="宋体"/>
                <w:b w:val="0"/>
                <w:bCs w:val="0"/>
                <w:sz w:val="21"/>
                <w:szCs w:val="21"/>
              </w:rPr>
            </w:pPr>
            <w:r>
              <w:rPr>
                <w:rFonts w:hint="eastAsia" w:ascii="宋体" w:hAnsi="宋体" w:eastAsia="宋体" w:cs="宋体"/>
                <w:b w:val="0"/>
                <w:bCs w:val="0"/>
                <w:sz w:val="21"/>
                <w:szCs w:val="21"/>
              </w:rPr>
              <w:t>猴(短尾猴)</w:t>
            </w:r>
          </w:p>
        </w:tc>
        <w:tc>
          <w:tcPr>
            <w:tcW w:w="2693" w:type="dxa"/>
            <w:tcBorders>
              <w:top w:val="outset" w:color="auto" w:sz="6" w:space="0"/>
              <w:left w:val="outset" w:color="auto" w:sz="6" w:space="0"/>
              <w:bottom w:val="outset" w:color="auto" w:sz="6" w:space="0"/>
              <w:right w:val="outset" w:color="auto" w:sz="6" w:space="0"/>
            </w:tcBorders>
            <w:vAlign w:val="center"/>
          </w:tcPr>
          <w:p w14:paraId="156960B0">
            <w:pP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c>
          <w:tcPr>
            <w:tcW w:w="2835" w:type="dxa"/>
            <w:tcBorders>
              <w:top w:val="outset" w:color="auto" w:sz="6" w:space="0"/>
              <w:left w:val="outset" w:color="auto" w:sz="6" w:space="0"/>
              <w:bottom w:val="outset" w:color="auto" w:sz="6" w:space="0"/>
              <w:right w:val="outset" w:color="auto" w:sz="6" w:space="0"/>
            </w:tcBorders>
            <w:vAlign w:val="center"/>
          </w:tcPr>
          <w:p w14:paraId="06AEF9DC">
            <w:pPr>
              <w:rPr>
                <w:rFonts w:hint="eastAsia" w:ascii="宋体" w:hAnsi="宋体" w:eastAsia="宋体" w:cs="宋体"/>
                <w:b w:val="0"/>
                <w:bCs w:val="0"/>
                <w:sz w:val="21"/>
                <w:szCs w:val="21"/>
              </w:rPr>
            </w:pPr>
            <w:r>
              <w:rPr>
                <w:rFonts w:hint="eastAsia" w:ascii="宋体" w:hAnsi="宋体" w:eastAsia="宋体" w:cs="宋体"/>
                <w:b w:val="0"/>
                <w:bCs w:val="0"/>
                <w:sz w:val="21"/>
                <w:szCs w:val="21"/>
              </w:rPr>
              <w:t>55-75</w:t>
            </w:r>
          </w:p>
        </w:tc>
      </w:tr>
      <w:tr w14:paraId="39F0F84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78A47FB2">
            <w:pPr>
              <w:rPr>
                <w:rFonts w:hint="eastAsia" w:ascii="宋体" w:hAnsi="宋体" w:eastAsia="宋体" w:cs="宋体"/>
                <w:b w:val="0"/>
                <w:bCs w:val="0"/>
                <w:sz w:val="21"/>
                <w:szCs w:val="21"/>
              </w:rPr>
            </w:pPr>
            <w:r>
              <w:rPr>
                <w:rFonts w:hint="eastAsia" w:ascii="宋体" w:hAnsi="宋体" w:eastAsia="宋体" w:cs="宋体"/>
                <w:b w:val="0"/>
                <w:bCs w:val="0"/>
                <w:sz w:val="21"/>
                <w:szCs w:val="21"/>
              </w:rPr>
              <w:t>狨猴</w:t>
            </w:r>
          </w:p>
        </w:tc>
        <w:tc>
          <w:tcPr>
            <w:tcW w:w="2693" w:type="dxa"/>
            <w:tcBorders>
              <w:top w:val="outset" w:color="auto" w:sz="6" w:space="0"/>
              <w:left w:val="outset" w:color="auto" w:sz="6" w:space="0"/>
              <w:bottom w:val="outset" w:color="auto" w:sz="6" w:space="0"/>
              <w:right w:val="outset" w:color="auto" w:sz="6" w:space="0"/>
            </w:tcBorders>
            <w:vAlign w:val="center"/>
          </w:tcPr>
          <w:p w14:paraId="59C3BE1C">
            <w:pPr>
              <w:rPr>
                <w:rFonts w:hint="eastAsia" w:ascii="宋体" w:hAnsi="宋体" w:eastAsia="宋体" w:cs="宋体"/>
                <w:b w:val="0"/>
                <w:bCs w:val="0"/>
                <w:sz w:val="21"/>
                <w:szCs w:val="21"/>
              </w:rPr>
            </w:pPr>
            <w:r>
              <w:rPr>
                <w:rFonts w:hint="eastAsia" w:ascii="宋体" w:hAnsi="宋体" w:eastAsia="宋体" w:cs="宋体"/>
                <w:b w:val="0"/>
                <w:bCs w:val="0"/>
                <w:sz w:val="21"/>
                <w:szCs w:val="21"/>
              </w:rPr>
              <w:t>70</w:t>
            </w:r>
          </w:p>
        </w:tc>
        <w:tc>
          <w:tcPr>
            <w:tcW w:w="2835" w:type="dxa"/>
            <w:tcBorders>
              <w:top w:val="outset" w:color="auto" w:sz="6" w:space="0"/>
              <w:left w:val="outset" w:color="auto" w:sz="6" w:space="0"/>
              <w:bottom w:val="outset" w:color="auto" w:sz="6" w:space="0"/>
              <w:right w:val="outset" w:color="auto" w:sz="6" w:space="0"/>
            </w:tcBorders>
            <w:vAlign w:val="center"/>
          </w:tcPr>
          <w:p w14:paraId="45611F0C">
            <w:pPr>
              <w:rPr>
                <w:rFonts w:hint="eastAsia" w:ascii="宋体" w:hAnsi="宋体" w:eastAsia="宋体" w:cs="宋体"/>
                <w:b w:val="0"/>
                <w:bCs w:val="0"/>
                <w:sz w:val="21"/>
                <w:szCs w:val="21"/>
              </w:rPr>
            </w:pPr>
            <w:r>
              <w:rPr>
                <w:rFonts w:hint="eastAsia" w:ascii="宋体" w:hAnsi="宋体" w:eastAsia="宋体" w:cs="宋体"/>
                <w:b w:val="0"/>
                <w:bCs w:val="0"/>
                <w:sz w:val="21"/>
                <w:szCs w:val="21"/>
              </w:rPr>
              <w:t>58-82</w:t>
            </w:r>
          </w:p>
        </w:tc>
      </w:tr>
      <w:tr w14:paraId="18050F3F">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6C70E134">
            <w:pPr>
              <w:rPr>
                <w:rFonts w:hint="eastAsia" w:ascii="宋体" w:hAnsi="宋体" w:eastAsia="宋体" w:cs="宋体"/>
                <w:b w:val="0"/>
                <w:bCs w:val="0"/>
                <w:sz w:val="21"/>
                <w:szCs w:val="21"/>
              </w:rPr>
            </w:pPr>
            <w:r>
              <w:rPr>
                <w:rFonts w:hint="eastAsia" w:ascii="宋体" w:hAnsi="宋体" w:eastAsia="宋体" w:cs="宋体"/>
                <w:b w:val="0"/>
                <w:bCs w:val="0"/>
                <w:sz w:val="21"/>
                <w:szCs w:val="21"/>
              </w:rPr>
              <w:t>小型猪</w:t>
            </w:r>
          </w:p>
        </w:tc>
        <w:tc>
          <w:tcPr>
            <w:tcW w:w="2693" w:type="dxa"/>
            <w:tcBorders>
              <w:top w:val="outset" w:color="auto" w:sz="6" w:space="0"/>
              <w:left w:val="outset" w:color="auto" w:sz="6" w:space="0"/>
              <w:bottom w:val="outset" w:color="auto" w:sz="6" w:space="0"/>
              <w:right w:val="outset" w:color="auto" w:sz="6" w:space="0"/>
            </w:tcBorders>
            <w:vAlign w:val="center"/>
          </w:tcPr>
          <w:p w14:paraId="417C70F1">
            <w:pP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c>
          <w:tcPr>
            <w:tcW w:w="2835" w:type="dxa"/>
            <w:tcBorders>
              <w:top w:val="outset" w:color="auto" w:sz="6" w:space="0"/>
              <w:left w:val="outset" w:color="auto" w:sz="6" w:space="0"/>
              <w:bottom w:val="outset" w:color="auto" w:sz="6" w:space="0"/>
              <w:right w:val="outset" w:color="auto" w:sz="6" w:space="0"/>
            </w:tcBorders>
            <w:vAlign w:val="center"/>
          </w:tcPr>
          <w:p w14:paraId="5E059A80">
            <w:pPr>
              <w:rPr>
                <w:rFonts w:hint="eastAsia" w:ascii="宋体" w:hAnsi="宋体" w:eastAsia="宋体" w:cs="宋体"/>
                <w:b w:val="0"/>
                <w:bCs w:val="0"/>
                <w:sz w:val="21"/>
                <w:szCs w:val="21"/>
              </w:rPr>
            </w:pPr>
            <w:r>
              <w:rPr>
                <w:rFonts w:hint="eastAsia" w:ascii="宋体" w:hAnsi="宋体" w:eastAsia="宋体" w:cs="宋体"/>
                <w:b w:val="0"/>
                <w:bCs w:val="0"/>
                <w:sz w:val="21"/>
                <w:szCs w:val="21"/>
              </w:rPr>
              <w:t>61-68</w:t>
            </w:r>
          </w:p>
        </w:tc>
      </w:tr>
    </w:tbl>
    <w:p w14:paraId="67297187">
      <w:pPr>
        <w:rPr>
          <w:rFonts w:hint="eastAsia" w:ascii="宋体" w:hAnsi="宋体" w:eastAsia="宋体" w:cs="宋体"/>
          <w:b w:val="0"/>
          <w:bCs w:val="0"/>
          <w:sz w:val="21"/>
          <w:szCs w:val="21"/>
        </w:rPr>
      </w:pPr>
      <w:r>
        <w:rPr>
          <w:rFonts w:hint="eastAsia" w:ascii="宋体" w:hAnsi="宋体" w:eastAsia="宋体" w:cs="宋体"/>
          <w:b w:val="0"/>
          <w:bCs w:val="0"/>
          <w:sz w:val="21"/>
          <w:szCs w:val="21"/>
        </w:rPr>
        <w:t>三、采血量</w:t>
      </w:r>
    </w:p>
    <w:p w14:paraId="3BF53165">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当采血量接近最大限值时，实验动物的权益问题是首先应考虑的问题，但动物生理反应对研究结果的影响必须同时加以考虑。因为它可能会影响数据的分析和数据的正确性。采样前动物的临床症状，也是决定采血量的前提。</w:t>
      </w:r>
    </w:p>
    <w:p w14:paraId="4874B201">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Scipioni 等(1997)的工作表明在 24 小时内采血量达到大鼠总血量的 40% 且 2 周后重复，大体上看不出会有不良影响。总之，关于动物采血后健康状况的关键性指标如心率、呼吸、激素水平及行为学改变的数据不多，而这些指标或许会在采血时发生变化以适应过度的采血。但要在采血时研究这些指标的变 化将需要付出极大的人力和物力。然而，血液学参数是很容易测定的。</w:t>
      </w:r>
    </w:p>
    <w:p w14:paraId="3FDDA0B0">
      <w:pP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在一个小型的科研项目中，摸拟药动采血过程，对于体重 250g 左右的的雄性及雌性 Sprague Dawley大鼠，每次采血0.3 ml，24小时内采占循环血量7.5%，11%，15%及20%的血量, 测定了采血前后的红细胞计数(RBC)，血红蛋白浓度(HB)，红细胞压积(HCT)，红细胞平均容积(MCV)及红细胞分布范围(RDW)。其后对动物进行了29天的观察</w:t>
      </w:r>
      <w:r>
        <w:rPr>
          <w:rFonts w:hint="eastAsia" w:ascii="宋体" w:hAnsi="宋体" w:eastAsia="宋体" w:cs="宋体"/>
          <w:b w:val="0"/>
          <w:bCs w:val="0"/>
          <w:sz w:val="21"/>
          <w:szCs w:val="21"/>
          <w:lang w:eastAsia="zh-CN"/>
        </w:rPr>
        <w:t>。</w:t>
      </w:r>
    </w:p>
    <w:p w14:paraId="346A4EF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结果表明，这些参数回到基线水平所用的时间相当不同，在15%~20%的实验组，一些参数(MCV，RDW)在29天后仍旧没有回到基线水平。本文推荐的多次取样后的恢复时间，是所有大鼠采血后血量均恢复至采血前的“正常”水平加减10%的时间。单次取样(诸如要求进行常规毒理研究)推荐不超过15%，因超过15%且抽血不是很缓慢的话，可能引起低血容量性休克。而多次少量取样则不会产生这样的急性反应。毒理实验中血液学指标的变化非常重要，多次采血会对这些指标发生影响，应特别注意多次采血后的恢复时间</w:t>
      </w:r>
    </w:p>
    <w:p w14:paraId="3932717A">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 2  最大采血体积及恢复时间</w:t>
      </w:r>
    </w:p>
    <w:tbl>
      <w:tblPr>
        <w:tblStyle w:val="14"/>
        <w:tblW w:w="8214" w:type="dxa"/>
        <w:tblInd w:w="0" w:type="dxa"/>
        <w:tblLayout w:type="autofit"/>
        <w:tblCellMar>
          <w:top w:w="0" w:type="dxa"/>
          <w:left w:w="0" w:type="dxa"/>
          <w:bottom w:w="0" w:type="dxa"/>
          <w:right w:w="0" w:type="dxa"/>
        </w:tblCellMar>
      </w:tblPr>
      <w:tblGrid>
        <w:gridCol w:w="1778"/>
        <w:gridCol w:w="2042"/>
        <w:gridCol w:w="1984"/>
        <w:gridCol w:w="2410"/>
      </w:tblGrid>
      <w:tr w14:paraId="3D7239E3">
        <w:tblPrEx>
          <w:tblCellMar>
            <w:top w:w="0" w:type="dxa"/>
            <w:left w:w="0" w:type="dxa"/>
            <w:bottom w:w="0" w:type="dxa"/>
            <w:right w:w="0" w:type="dxa"/>
          </w:tblCellMar>
        </w:tblPrEx>
        <w:tc>
          <w:tcPr>
            <w:tcW w:w="3820" w:type="dxa"/>
            <w:gridSpan w:val="2"/>
            <w:tcBorders>
              <w:top w:val="outset" w:color="auto" w:sz="6" w:space="0"/>
              <w:left w:val="outset" w:color="auto" w:sz="6" w:space="0"/>
              <w:bottom w:val="outset" w:color="auto" w:sz="6" w:space="0"/>
              <w:right w:val="outset" w:color="auto" w:sz="6" w:space="0"/>
            </w:tcBorders>
            <w:vAlign w:val="center"/>
          </w:tcPr>
          <w:p w14:paraId="1399EC93">
            <w:pPr>
              <w:rPr>
                <w:rFonts w:hint="eastAsia" w:ascii="宋体" w:hAnsi="宋体" w:eastAsia="宋体" w:cs="宋体"/>
                <w:b w:val="0"/>
                <w:bCs w:val="0"/>
                <w:sz w:val="21"/>
                <w:szCs w:val="21"/>
              </w:rPr>
            </w:pPr>
            <w:r>
              <w:rPr>
                <w:rFonts w:hint="eastAsia" w:ascii="宋体" w:hAnsi="宋体" w:eastAsia="宋体" w:cs="宋体"/>
                <w:b w:val="0"/>
                <w:bCs w:val="0"/>
                <w:sz w:val="21"/>
                <w:szCs w:val="21"/>
              </w:rPr>
              <w:t>一次采血(如毒性研究)</w:t>
            </w:r>
          </w:p>
        </w:tc>
        <w:tc>
          <w:tcPr>
            <w:tcW w:w="4394" w:type="dxa"/>
            <w:gridSpan w:val="2"/>
            <w:tcBorders>
              <w:top w:val="outset" w:color="auto" w:sz="6" w:space="0"/>
              <w:left w:val="outset" w:color="auto" w:sz="6" w:space="0"/>
              <w:bottom w:val="outset" w:color="auto" w:sz="6" w:space="0"/>
              <w:right w:val="outset" w:color="auto" w:sz="6" w:space="0"/>
            </w:tcBorders>
            <w:vAlign w:val="center"/>
          </w:tcPr>
          <w:p w14:paraId="13159142">
            <w:pPr>
              <w:rPr>
                <w:rFonts w:hint="eastAsia" w:ascii="宋体" w:hAnsi="宋体" w:eastAsia="宋体" w:cs="宋体"/>
                <w:b w:val="0"/>
                <w:bCs w:val="0"/>
                <w:sz w:val="21"/>
                <w:szCs w:val="21"/>
              </w:rPr>
            </w:pPr>
            <w:r>
              <w:rPr>
                <w:rFonts w:hint="eastAsia" w:ascii="宋体" w:hAnsi="宋体" w:eastAsia="宋体" w:cs="宋体"/>
                <w:b w:val="0"/>
                <w:bCs w:val="0"/>
                <w:sz w:val="21"/>
                <w:szCs w:val="21"/>
              </w:rPr>
              <w:t>多次采血(如毒代动力学研究)</w:t>
            </w:r>
          </w:p>
        </w:tc>
      </w:tr>
      <w:tr w14:paraId="397021CC">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62239A0C">
            <w:pPr>
              <w:rPr>
                <w:rFonts w:hint="eastAsia" w:ascii="宋体" w:hAnsi="宋体" w:eastAsia="宋体" w:cs="宋体"/>
                <w:b w:val="0"/>
                <w:bCs w:val="0"/>
                <w:sz w:val="21"/>
                <w:szCs w:val="21"/>
              </w:rPr>
            </w:pPr>
            <w:r>
              <w:rPr>
                <w:rFonts w:hint="eastAsia" w:ascii="宋体" w:hAnsi="宋体" w:eastAsia="宋体" w:cs="宋体"/>
                <w:b w:val="0"/>
                <w:bCs w:val="0"/>
                <w:sz w:val="21"/>
                <w:szCs w:val="21"/>
              </w:rPr>
              <w:t>采血量占循环血量</w:t>
            </w:r>
          </w:p>
          <w:p w14:paraId="0AD99D5F">
            <w:pPr>
              <w:rPr>
                <w:rFonts w:hint="eastAsia" w:ascii="宋体" w:hAnsi="宋体" w:eastAsia="宋体" w:cs="宋体"/>
                <w:b w:val="0"/>
                <w:bCs w:val="0"/>
                <w:sz w:val="21"/>
                <w:szCs w:val="21"/>
              </w:rPr>
            </w:pPr>
            <w:r>
              <w:rPr>
                <w:rFonts w:hint="eastAsia" w:ascii="宋体" w:hAnsi="宋体" w:eastAsia="宋体" w:cs="宋体"/>
                <w:b w:val="0"/>
                <w:bCs w:val="0"/>
                <w:sz w:val="21"/>
                <w:szCs w:val="21"/>
              </w:rPr>
              <w:t>百分比</w:t>
            </w:r>
          </w:p>
        </w:tc>
        <w:tc>
          <w:tcPr>
            <w:tcW w:w="2042" w:type="dxa"/>
            <w:tcBorders>
              <w:top w:val="outset" w:color="auto" w:sz="6" w:space="0"/>
              <w:left w:val="outset" w:color="auto" w:sz="6" w:space="0"/>
              <w:bottom w:val="outset" w:color="auto" w:sz="6" w:space="0"/>
              <w:right w:val="outset" w:color="auto" w:sz="6" w:space="0"/>
            </w:tcBorders>
            <w:vAlign w:val="center"/>
          </w:tcPr>
          <w:p w14:paraId="59770546">
            <w:pPr>
              <w:rPr>
                <w:rFonts w:hint="eastAsia" w:ascii="宋体" w:hAnsi="宋体" w:eastAsia="宋体" w:cs="宋体"/>
                <w:b w:val="0"/>
                <w:bCs w:val="0"/>
                <w:sz w:val="21"/>
                <w:szCs w:val="21"/>
              </w:rPr>
            </w:pPr>
            <w:r>
              <w:rPr>
                <w:rFonts w:hint="eastAsia" w:ascii="宋体" w:hAnsi="宋体" w:eastAsia="宋体" w:cs="宋体"/>
                <w:b w:val="0"/>
                <w:bCs w:val="0"/>
                <w:sz w:val="21"/>
                <w:szCs w:val="21"/>
              </w:rPr>
              <w:t>大致的恢复时间</w:t>
            </w:r>
          </w:p>
        </w:tc>
        <w:tc>
          <w:tcPr>
            <w:tcW w:w="1984" w:type="dxa"/>
            <w:tcBorders>
              <w:top w:val="outset" w:color="auto" w:sz="6" w:space="0"/>
              <w:left w:val="outset" w:color="auto" w:sz="6" w:space="0"/>
              <w:bottom w:val="outset" w:color="auto" w:sz="6" w:space="0"/>
              <w:right w:val="outset" w:color="auto" w:sz="6" w:space="0"/>
            </w:tcBorders>
            <w:vAlign w:val="center"/>
          </w:tcPr>
          <w:p w14:paraId="46123E5F">
            <w:pPr>
              <w:rPr>
                <w:rFonts w:hint="eastAsia" w:ascii="宋体" w:hAnsi="宋体" w:eastAsia="宋体" w:cs="宋体"/>
                <w:b w:val="0"/>
                <w:bCs w:val="0"/>
                <w:sz w:val="21"/>
                <w:szCs w:val="21"/>
              </w:rPr>
            </w:pPr>
            <w:r>
              <w:rPr>
                <w:rFonts w:hint="eastAsia" w:ascii="宋体" w:hAnsi="宋体" w:eastAsia="宋体" w:cs="宋体"/>
                <w:b w:val="0"/>
                <w:bCs w:val="0"/>
                <w:sz w:val="21"/>
                <w:szCs w:val="21"/>
              </w:rPr>
              <w:t>24 小时内采血量占 循环血量百分比</w:t>
            </w:r>
          </w:p>
        </w:tc>
        <w:tc>
          <w:tcPr>
            <w:tcW w:w="2410" w:type="dxa"/>
            <w:tcBorders>
              <w:top w:val="outset" w:color="auto" w:sz="6" w:space="0"/>
              <w:left w:val="outset" w:color="auto" w:sz="6" w:space="0"/>
              <w:bottom w:val="outset" w:color="auto" w:sz="6" w:space="0"/>
              <w:right w:val="outset" w:color="auto" w:sz="6" w:space="0"/>
            </w:tcBorders>
            <w:vAlign w:val="center"/>
          </w:tcPr>
          <w:p w14:paraId="44EFAA96">
            <w:pPr>
              <w:rPr>
                <w:rFonts w:hint="eastAsia" w:ascii="宋体" w:hAnsi="宋体" w:eastAsia="宋体" w:cs="宋体"/>
                <w:b w:val="0"/>
                <w:bCs w:val="0"/>
                <w:sz w:val="21"/>
                <w:szCs w:val="21"/>
              </w:rPr>
            </w:pPr>
            <w:r>
              <w:rPr>
                <w:rFonts w:hint="eastAsia" w:ascii="宋体" w:hAnsi="宋体" w:eastAsia="宋体" w:cs="宋体"/>
                <w:b w:val="0"/>
                <w:bCs w:val="0"/>
                <w:sz w:val="21"/>
                <w:szCs w:val="21"/>
              </w:rPr>
              <w:t>大致的恢复时间</w:t>
            </w:r>
          </w:p>
        </w:tc>
      </w:tr>
      <w:tr w14:paraId="626B0A61">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1DCD58C4">
            <w:pPr>
              <w:rPr>
                <w:rFonts w:hint="eastAsia" w:ascii="宋体" w:hAnsi="宋体" w:eastAsia="宋体" w:cs="宋体"/>
                <w:b w:val="0"/>
                <w:bCs w:val="0"/>
                <w:sz w:val="21"/>
                <w:szCs w:val="21"/>
              </w:rPr>
            </w:pPr>
            <w:r>
              <w:rPr>
                <w:rFonts w:hint="eastAsia" w:ascii="宋体" w:hAnsi="宋体" w:eastAsia="宋体" w:cs="宋体"/>
                <w:b w:val="0"/>
                <w:bCs w:val="0"/>
                <w:sz w:val="21"/>
                <w:szCs w:val="21"/>
              </w:rPr>
              <w:t>7.5%</w:t>
            </w:r>
          </w:p>
        </w:tc>
        <w:tc>
          <w:tcPr>
            <w:tcW w:w="2042" w:type="dxa"/>
            <w:tcBorders>
              <w:top w:val="outset" w:color="auto" w:sz="6" w:space="0"/>
              <w:left w:val="outset" w:color="auto" w:sz="6" w:space="0"/>
              <w:bottom w:val="outset" w:color="auto" w:sz="6" w:space="0"/>
              <w:right w:val="outset" w:color="auto" w:sz="6" w:space="0"/>
            </w:tcBorders>
            <w:vAlign w:val="center"/>
          </w:tcPr>
          <w:p w14:paraId="69D31FE2">
            <w:pPr>
              <w:rPr>
                <w:rFonts w:hint="eastAsia" w:ascii="宋体" w:hAnsi="宋体" w:eastAsia="宋体" w:cs="宋体"/>
                <w:b w:val="0"/>
                <w:bCs w:val="0"/>
                <w:sz w:val="21"/>
                <w:szCs w:val="21"/>
              </w:rPr>
            </w:pPr>
            <w:r>
              <w:rPr>
                <w:rFonts w:hint="eastAsia" w:ascii="宋体" w:hAnsi="宋体" w:eastAsia="宋体" w:cs="宋体"/>
                <w:b w:val="0"/>
                <w:bCs w:val="0"/>
                <w:sz w:val="21"/>
                <w:szCs w:val="21"/>
              </w:rPr>
              <w:t>1 week</w:t>
            </w:r>
          </w:p>
        </w:tc>
        <w:tc>
          <w:tcPr>
            <w:tcW w:w="1984" w:type="dxa"/>
            <w:tcBorders>
              <w:top w:val="outset" w:color="auto" w:sz="6" w:space="0"/>
              <w:left w:val="outset" w:color="auto" w:sz="6" w:space="0"/>
              <w:bottom w:val="outset" w:color="auto" w:sz="6" w:space="0"/>
              <w:right w:val="outset" w:color="auto" w:sz="6" w:space="0"/>
            </w:tcBorders>
            <w:vAlign w:val="center"/>
          </w:tcPr>
          <w:p w14:paraId="637B0248">
            <w:pPr>
              <w:rPr>
                <w:rFonts w:hint="eastAsia" w:ascii="宋体" w:hAnsi="宋体" w:eastAsia="宋体" w:cs="宋体"/>
                <w:b w:val="0"/>
                <w:bCs w:val="0"/>
                <w:sz w:val="21"/>
                <w:szCs w:val="21"/>
              </w:rPr>
            </w:pPr>
            <w:r>
              <w:rPr>
                <w:rFonts w:hint="eastAsia" w:ascii="宋体" w:hAnsi="宋体" w:eastAsia="宋体" w:cs="宋体"/>
                <w:b w:val="0"/>
                <w:bCs w:val="0"/>
                <w:sz w:val="21"/>
                <w:szCs w:val="21"/>
              </w:rPr>
              <w:t>7.5%</w:t>
            </w:r>
          </w:p>
        </w:tc>
        <w:tc>
          <w:tcPr>
            <w:tcW w:w="2410" w:type="dxa"/>
            <w:tcBorders>
              <w:top w:val="outset" w:color="auto" w:sz="6" w:space="0"/>
              <w:left w:val="outset" w:color="auto" w:sz="6" w:space="0"/>
              <w:bottom w:val="outset" w:color="auto" w:sz="6" w:space="0"/>
              <w:right w:val="outset" w:color="auto" w:sz="6" w:space="0"/>
            </w:tcBorders>
            <w:vAlign w:val="center"/>
          </w:tcPr>
          <w:p w14:paraId="0113748E">
            <w:pPr>
              <w:rPr>
                <w:rFonts w:hint="eastAsia" w:ascii="宋体" w:hAnsi="宋体" w:eastAsia="宋体" w:cs="宋体"/>
                <w:b w:val="0"/>
                <w:bCs w:val="0"/>
                <w:sz w:val="21"/>
                <w:szCs w:val="21"/>
              </w:rPr>
            </w:pPr>
            <w:r>
              <w:rPr>
                <w:rFonts w:hint="eastAsia" w:ascii="宋体" w:hAnsi="宋体" w:eastAsia="宋体" w:cs="宋体"/>
                <w:b w:val="0"/>
                <w:bCs w:val="0"/>
                <w:sz w:val="21"/>
                <w:szCs w:val="21"/>
              </w:rPr>
              <w:t>1 week</w:t>
            </w:r>
          </w:p>
        </w:tc>
      </w:tr>
      <w:tr w14:paraId="3C9343AA">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3F7A1E2E">
            <w:pPr>
              <w:rPr>
                <w:rFonts w:hint="eastAsia" w:ascii="宋体" w:hAnsi="宋体" w:eastAsia="宋体" w:cs="宋体"/>
                <w:b w:val="0"/>
                <w:bCs w:val="0"/>
                <w:sz w:val="21"/>
                <w:szCs w:val="21"/>
              </w:rPr>
            </w:pPr>
            <w:r>
              <w:rPr>
                <w:rFonts w:hint="eastAsia" w:ascii="宋体" w:hAnsi="宋体" w:eastAsia="宋体" w:cs="宋体"/>
                <w:b w:val="0"/>
                <w:bCs w:val="0"/>
                <w:sz w:val="21"/>
                <w:szCs w:val="21"/>
              </w:rPr>
              <w:t>10%</w:t>
            </w:r>
          </w:p>
        </w:tc>
        <w:tc>
          <w:tcPr>
            <w:tcW w:w="2042" w:type="dxa"/>
            <w:tcBorders>
              <w:top w:val="outset" w:color="auto" w:sz="6" w:space="0"/>
              <w:left w:val="outset" w:color="auto" w:sz="6" w:space="0"/>
              <w:bottom w:val="outset" w:color="auto" w:sz="6" w:space="0"/>
              <w:right w:val="outset" w:color="auto" w:sz="6" w:space="0"/>
            </w:tcBorders>
            <w:vAlign w:val="center"/>
          </w:tcPr>
          <w:p w14:paraId="4AE4A214">
            <w:pPr>
              <w:rPr>
                <w:rFonts w:hint="eastAsia" w:ascii="宋体" w:hAnsi="宋体" w:eastAsia="宋体" w:cs="宋体"/>
                <w:b w:val="0"/>
                <w:bCs w:val="0"/>
                <w:sz w:val="21"/>
                <w:szCs w:val="21"/>
              </w:rPr>
            </w:pPr>
            <w:r>
              <w:rPr>
                <w:rFonts w:hint="eastAsia" w:ascii="宋体" w:hAnsi="宋体" w:eastAsia="宋体" w:cs="宋体"/>
                <w:b w:val="0"/>
                <w:bCs w:val="0"/>
                <w:sz w:val="21"/>
                <w:szCs w:val="21"/>
              </w:rPr>
              <w:t>2 week</w:t>
            </w:r>
          </w:p>
        </w:tc>
        <w:tc>
          <w:tcPr>
            <w:tcW w:w="1984" w:type="dxa"/>
            <w:tcBorders>
              <w:top w:val="outset" w:color="auto" w:sz="6" w:space="0"/>
              <w:left w:val="outset" w:color="auto" w:sz="6" w:space="0"/>
              <w:bottom w:val="outset" w:color="auto" w:sz="6" w:space="0"/>
              <w:right w:val="outset" w:color="auto" w:sz="6" w:space="0"/>
            </w:tcBorders>
            <w:vAlign w:val="center"/>
          </w:tcPr>
          <w:p w14:paraId="402AAB2A">
            <w:pPr>
              <w:rPr>
                <w:rFonts w:hint="eastAsia" w:ascii="宋体" w:hAnsi="宋体" w:eastAsia="宋体" w:cs="宋体"/>
                <w:b w:val="0"/>
                <w:bCs w:val="0"/>
                <w:sz w:val="21"/>
                <w:szCs w:val="21"/>
              </w:rPr>
            </w:pPr>
            <w:r>
              <w:rPr>
                <w:rFonts w:hint="eastAsia" w:ascii="宋体" w:hAnsi="宋体" w:eastAsia="宋体" w:cs="宋体"/>
                <w:b w:val="0"/>
                <w:bCs w:val="0"/>
                <w:sz w:val="21"/>
                <w:szCs w:val="21"/>
              </w:rPr>
              <w:t>10-15%</w:t>
            </w:r>
          </w:p>
        </w:tc>
        <w:tc>
          <w:tcPr>
            <w:tcW w:w="2410" w:type="dxa"/>
            <w:tcBorders>
              <w:top w:val="outset" w:color="auto" w:sz="6" w:space="0"/>
              <w:left w:val="outset" w:color="auto" w:sz="6" w:space="0"/>
              <w:bottom w:val="outset" w:color="auto" w:sz="6" w:space="0"/>
              <w:right w:val="outset" w:color="auto" w:sz="6" w:space="0"/>
            </w:tcBorders>
            <w:vAlign w:val="center"/>
          </w:tcPr>
          <w:p w14:paraId="3FF53230">
            <w:pPr>
              <w:rPr>
                <w:rFonts w:hint="eastAsia" w:ascii="宋体" w:hAnsi="宋体" w:eastAsia="宋体" w:cs="宋体"/>
                <w:b w:val="0"/>
                <w:bCs w:val="0"/>
                <w:sz w:val="21"/>
                <w:szCs w:val="21"/>
              </w:rPr>
            </w:pPr>
            <w:r>
              <w:rPr>
                <w:rFonts w:hint="eastAsia" w:ascii="宋体" w:hAnsi="宋体" w:eastAsia="宋体" w:cs="宋体"/>
                <w:b w:val="0"/>
                <w:bCs w:val="0"/>
                <w:sz w:val="21"/>
                <w:szCs w:val="21"/>
              </w:rPr>
              <w:t>2 week</w:t>
            </w:r>
          </w:p>
        </w:tc>
      </w:tr>
      <w:tr w14:paraId="0501E389">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78979DA2">
            <w:pPr>
              <w:rPr>
                <w:rFonts w:hint="eastAsia" w:ascii="宋体" w:hAnsi="宋体" w:eastAsia="宋体" w:cs="宋体"/>
                <w:b w:val="0"/>
                <w:bCs w:val="0"/>
                <w:sz w:val="21"/>
                <w:szCs w:val="21"/>
              </w:rPr>
            </w:pPr>
            <w:r>
              <w:rPr>
                <w:rFonts w:hint="eastAsia" w:ascii="宋体" w:hAnsi="宋体" w:eastAsia="宋体" w:cs="宋体"/>
                <w:b w:val="0"/>
                <w:bCs w:val="0"/>
                <w:sz w:val="21"/>
                <w:szCs w:val="21"/>
              </w:rPr>
              <w:t>15%</w:t>
            </w:r>
          </w:p>
        </w:tc>
        <w:tc>
          <w:tcPr>
            <w:tcW w:w="2042" w:type="dxa"/>
            <w:tcBorders>
              <w:top w:val="outset" w:color="auto" w:sz="6" w:space="0"/>
              <w:left w:val="outset" w:color="auto" w:sz="6" w:space="0"/>
              <w:bottom w:val="outset" w:color="auto" w:sz="6" w:space="0"/>
              <w:right w:val="outset" w:color="auto" w:sz="6" w:space="0"/>
            </w:tcBorders>
            <w:vAlign w:val="center"/>
          </w:tcPr>
          <w:p w14:paraId="6B8737A0">
            <w:pPr>
              <w:rPr>
                <w:rFonts w:hint="eastAsia" w:ascii="宋体" w:hAnsi="宋体" w:eastAsia="宋体" w:cs="宋体"/>
                <w:b w:val="0"/>
                <w:bCs w:val="0"/>
                <w:sz w:val="21"/>
                <w:szCs w:val="21"/>
              </w:rPr>
            </w:pPr>
            <w:r>
              <w:rPr>
                <w:rFonts w:hint="eastAsia" w:ascii="宋体" w:hAnsi="宋体" w:eastAsia="宋体" w:cs="宋体"/>
                <w:b w:val="0"/>
                <w:bCs w:val="0"/>
                <w:sz w:val="21"/>
                <w:szCs w:val="21"/>
              </w:rPr>
              <w:t>4 week</w:t>
            </w:r>
          </w:p>
        </w:tc>
        <w:tc>
          <w:tcPr>
            <w:tcW w:w="1984" w:type="dxa"/>
            <w:tcBorders>
              <w:top w:val="outset" w:color="auto" w:sz="6" w:space="0"/>
              <w:left w:val="outset" w:color="auto" w:sz="6" w:space="0"/>
              <w:bottom w:val="outset" w:color="auto" w:sz="6" w:space="0"/>
              <w:right w:val="outset" w:color="auto" w:sz="6" w:space="0"/>
            </w:tcBorders>
            <w:vAlign w:val="center"/>
          </w:tcPr>
          <w:p w14:paraId="3D6DE4FE">
            <w:pPr>
              <w:rPr>
                <w:rFonts w:hint="eastAsia" w:ascii="宋体" w:hAnsi="宋体" w:eastAsia="宋体" w:cs="宋体"/>
                <w:b w:val="0"/>
                <w:bCs w:val="0"/>
                <w:sz w:val="21"/>
                <w:szCs w:val="21"/>
              </w:rPr>
            </w:pPr>
            <w:r>
              <w:rPr>
                <w:rFonts w:hint="eastAsia" w:ascii="宋体" w:hAnsi="宋体" w:eastAsia="宋体" w:cs="宋体"/>
                <w:b w:val="0"/>
                <w:bCs w:val="0"/>
                <w:sz w:val="21"/>
                <w:szCs w:val="21"/>
              </w:rPr>
              <w:t>20%</w:t>
            </w:r>
          </w:p>
        </w:tc>
        <w:tc>
          <w:tcPr>
            <w:tcW w:w="2410" w:type="dxa"/>
            <w:tcBorders>
              <w:top w:val="outset" w:color="auto" w:sz="6" w:space="0"/>
              <w:left w:val="outset" w:color="auto" w:sz="6" w:space="0"/>
              <w:bottom w:val="outset" w:color="auto" w:sz="6" w:space="0"/>
              <w:right w:val="outset" w:color="auto" w:sz="6" w:space="0"/>
            </w:tcBorders>
            <w:vAlign w:val="center"/>
          </w:tcPr>
          <w:p w14:paraId="3BF6C575">
            <w:pPr>
              <w:rPr>
                <w:rFonts w:hint="eastAsia" w:ascii="宋体" w:hAnsi="宋体" w:eastAsia="宋体" w:cs="宋体"/>
                <w:b w:val="0"/>
                <w:bCs w:val="0"/>
                <w:sz w:val="21"/>
                <w:szCs w:val="21"/>
              </w:rPr>
            </w:pPr>
            <w:r>
              <w:rPr>
                <w:rFonts w:hint="eastAsia" w:ascii="宋体" w:hAnsi="宋体" w:eastAsia="宋体" w:cs="宋体"/>
                <w:b w:val="0"/>
                <w:bCs w:val="0"/>
                <w:sz w:val="21"/>
                <w:szCs w:val="21"/>
              </w:rPr>
              <w:t>3 week</w:t>
            </w:r>
          </w:p>
        </w:tc>
      </w:tr>
    </w:tbl>
    <w:p w14:paraId="059DC28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然而，药动学研究时大量采血(如 20%)会引起血液动力学变化，或许会对半衰期等参数产生影响。如果在24小时内处死动物，可以评价消除半衰期。暂不认同补充血量的方法。参考表2的数值，表3列出了对动物的正常生理功能没有明显干扰的采血体积。</w:t>
      </w:r>
    </w:p>
    <w:p w14:paraId="7216B8F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 3  常用动物推荐采血体积</w:t>
      </w:r>
    </w:p>
    <w:tbl>
      <w:tblPr>
        <w:tblStyle w:val="14"/>
        <w:tblW w:w="8214" w:type="dxa"/>
        <w:tblInd w:w="0" w:type="dxa"/>
        <w:tblLayout w:type="autofit"/>
        <w:tblCellMar>
          <w:top w:w="0" w:type="dxa"/>
          <w:left w:w="0" w:type="dxa"/>
          <w:bottom w:w="0" w:type="dxa"/>
          <w:right w:w="0" w:type="dxa"/>
        </w:tblCellMar>
      </w:tblPr>
      <w:tblGrid>
        <w:gridCol w:w="1715"/>
        <w:gridCol w:w="1065"/>
        <w:gridCol w:w="1356"/>
        <w:gridCol w:w="1501"/>
        <w:gridCol w:w="1266"/>
        <w:gridCol w:w="1311"/>
      </w:tblGrid>
      <w:tr w14:paraId="797F27B9">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4EC1FE6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种属(重量)</w:t>
            </w:r>
          </w:p>
        </w:tc>
        <w:tc>
          <w:tcPr>
            <w:tcW w:w="1065" w:type="dxa"/>
            <w:tcBorders>
              <w:top w:val="outset" w:color="auto" w:sz="6" w:space="0"/>
              <w:left w:val="outset" w:color="auto" w:sz="6" w:space="0"/>
              <w:bottom w:val="outset" w:color="auto" w:sz="6" w:space="0"/>
              <w:right w:val="outset" w:color="auto" w:sz="6" w:space="0"/>
            </w:tcBorders>
            <w:vAlign w:val="center"/>
          </w:tcPr>
          <w:p w14:paraId="034A469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血液体积</w:t>
            </w:r>
          </w:p>
          <w:p w14:paraId="53838C3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(ml)</w:t>
            </w:r>
          </w:p>
        </w:tc>
        <w:tc>
          <w:tcPr>
            <w:tcW w:w="1356" w:type="dxa"/>
            <w:tcBorders>
              <w:top w:val="outset" w:color="auto" w:sz="6" w:space="0"/>
              <w:left w:val="outset" w:color="auto" w:sz="6" w:space="0"/>
              <w:bottom w:val="outset" w:color="auto" w:sz="6" w:space="0"/>
              <w:right w:val="outset" w:color="auto" w:sz="6" w:space="0"/>
            </w:tcBorders>
            <w:vAlign w:val="center"/>
          </w:tcPr>
          <w:p w14:paraId="78A5EC2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7.5% (ml)</w:t>
            </w:r>
          </w:p>
        </w:tc>
        <w:tc>
          <w:tcPr>
            <w:tcW w:w="1501" w:type="dxa"/>
            <w:tcBorders>
              <w:top w:val="outset" w:color="auto" w:sz="6" w:space="0"/>
              <w:left w:val="outset" w:color="auto" w:sz="6" w:space="0"/>
              <w:bottom w:val="outset" w:color="auto" w:sz="6" w:space="0"/>
              <w:right w:val="outset" w:color="auto" w:sz="6" w:space="0"/>
            </w:tcBorders>
            <w:vAlign w:val="center"/>
          </w:tcPr>
          <w:p w14:paraId="10614F1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10% (ml)</w:t>
            </w:r>
          </w:p>
        </w:tc>
        <w:tc>
          <w:tcPr>
            <w:tcW w:w="1266" w:type="dxa"/>
            <w:tcBorders>
              <w:top w:val="outset" w:color="auto" w:sz="6" w:space="0"/>
              <w:left w:val="outset" w:color="auto" w:sz="6" w:space="0"/>
              <w:bottom w:val="outset" w:color="auto" w:sz="6" w:space="0"/>
              <w:right w:val="outset" w:color="auto" w:sz="6" w:space="0"/>
            </w:tcBorders>
            <w:vAlign w:val="center"/>
          </w:tcPr>
          <w:p w14:paraId="0022E9F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15% (ml)</w:t>
            </w:r>
          </w:p>
        </w:tc>
        <w:tc>
          <w:tcPr>
            <w:tcW w:w="1311" w:type="dxa"/>
            <w:tcBorders>
              <w:top w:val="outset" w:color="auto" w:sz="6" w:space="0"/>
              <w:left w:val="outset" w:color="auto" w:sz="6" w:space="0"/>
              <w:bottom w:val="outset" w:color="auto" w:sz="6" w:space="0"/>
              <w:right w:val="outset" w:color="auto" w:sz="6" w:space="0"/>
            </w:tcBorders>
            <w:vAlign w:val="center"/>
          </w:tcPr>
          <w:p w14:paraId="363A629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20% (ml)</w:t>
            </w:r>
          </w:p>
        </w:tc>
      </w:tr>
      <w:tr w14:paraId="4A9F5FA7">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1E23EA6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小鼠(25 g)</w:t>
            </w:r>
          </w:p>
        </w:tc>
        <w:tc>
          <w:tcPr>
            <w:tcW w:w="1065" w:type="dxa"/>
            <w:tcBorders>
              <w:top w:val="outset" w:color="auto" w:sz="6" w:space="0"/>
              <w:left w:val="outset" w:color="auto" w:sz="6" w:space="0"/>
              <w:bottom w:val="outset" w:color="auto" w:sz="6" w:space="0"/>
              <w:right w:val="outset" w:color="auto" w:sz="6" w:space="0"/>
            </w:tcBorders>
            <w:vAlign w:val="center"/>
          </w:tcPr>
          <w:p w14:paraId="62E4578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1.8</w:t>
            </w:r>
          </w:p>
        </w:tc>
        <w:tc>
          <w:tcPr>
            <w:tcW w:w="1356" w:type="dxa"/>
            <w:tcBorders>
              <w:top w:val="outset" w:color="auto" w:sz="6" w:space="0"/>
              <w:left w:val="outset" w:color="auto" w:sz="6" w:space="0"/>
              <w:bottom w:val="outset" w:color="auto" w:sz="6" w:space="0"/>
              <w:right w:val="outset" w:color="auto" w:sz="6" w:space="0"/>
            </w:tcBorders>
            <w:vAlign w:val="center"/>
          </w:tcPr>
          <w:p w14:paraId="6CFF5F7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0.1</w:t>
            </w:r>
          </w:p>
        </w:tc>
        <w:tc>
          <w:tcPr>
            <w:tcW w:w="1501" w:type="dxa"/>
            <w:tcBorders>
              <w:top w:val="outset" w:color="auto" w:sz="6" w:space="0"/>
              <w:left w:val="outset" w:color="auto" w:sz="6" w:space="0"/>
              <w:bottom w:val="outset" w:color="auto" w:sz="6" w:space="0"/>
              <w:right w:val="outset" w:color="auto" w:sz="6" w:space="0"/>
            </w:tcBorders>
            <w:vAlign w:val="center"/>
          </w:tcPr>
          <w:p w14:paraId="1BFD33C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0.2</w:t>
            </w:r>
          </w:p>
        </w:tc>
        <w:tc>
          <w:tcPr>
            <w:tcW w:w="1266" w:type="dxa"/>
            <w:tcBorders>
              <w:top w:val="outset" w:color="auto" w:sz="6" w:space="0"/>
              <w:left w:val="outset" w:color="auto" w:sz="6" w:space="0"/>
              <w:bottom w:val="outset" w:color="auto" w:sz="6" w:space="0"/>
              <w:right w:val="outset" w:color="auto" w:sz="6" w:space="0"/>
            </w:tcBorders>
            <w:vAlign w:val="center"/>
          </w:tcPr>
          <w:p w14:paraId="5BB7A53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0.3</w:t>
            </w:r>
          </w:p>
        </w:tc>
        <w:tc>
          <w:tcPr>
            <w:tcW w:w="1311" w:type="dxa"/>
            <w:tcBorders>
              <w:top w:val="outset" w:color="auto" w:sz="6" w:space="0"/>
              <w:left w:val="outset" w:color="auto" w:sz="6" w:space="0"/>
              <w:bottom w:val="outset" w:color="auto" w:sz="6" w:space="0"/>
              <w:right w:val="outset" w:color="auto" w:sz="6" w:space="0"/>
            </w:tcBorders>
            <w:vAlign w:val="center"/>
          </w:tcPr>
          <w:p w14:paraId="2F4A25F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0.4</w:t>
            </w:r>
          </w:p>
        </w:tc>
      </w:tr>
      <w:tr w14:paraId="2736AFDA">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5F256B3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大鼠(250 g)</w:t>
            </w:r>
          </w:p>
        </w:tc>
        <w:tc>
          <w:tcPr>
            <w:tcW w:w="1065" w:type="dxa"/>
            <w:tcBorders>
              <w:top w:val="outset" w:color="auto" w:sz="6" w:space="0"/>
              <w:left w:val="outset" w:color="auto" w:sz="6" w:space="0"/>
              <w:bottom w:val="outset" w:color="auto" w:sz="6" w:space="0"/>
              <w:right w:val="outset" w:color="auto" w:sz="6" w:space="0"/>
            </w:tcBorders>
            <w:vAlign w:val="center"/>
          </w:tcPr>
          <w:p w14:paraId="398F569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16</w:t>
            </w:r>
          </w:p>
        </w:tc>
        <w:tc>
          <w:tcPr>
            <w:tcW w:w="1356" w:type="dxa"/>
            <w:tcBorders>
              <w:top w:val="outset" w:color="auto" w:sz="6" w:space="0"/>
              <w:left w:val="outset" w:color="auto" w:sz="6" w:space="0"/>
              <w:bottom w:val="outset" w:color="auto" w:sz="6" w:space="0"/>
              <w:right w:val="outset" w:color="auto" w:sz="6" w:space="0"/>
            </w:tcBorders>
            <w:vAlign w:val="center"/>
          </w:tcPr>
          <w:p w14:paraId="4AF942A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1.2</w:t>
            </w:r>
          </w:p>
        </w:tc>
        <w:tc>
          <w:tcPr>
            <w:tcW w:w="1501" w:type="dxa"/>
            <w:tcBorders>
              <w:top w:val="outset" w:color="auto" w:sz="6" w:space="0"/>
              <w:left w:val="outset" w:color="auto" w:sz="6" w:space="0"/>
              <w:bottom w:val="outset" w:color="auto" w:sz="6" w:space="0"/>
              <w:right w:val="outset" w:color="auto" w:sz="6" w:space="0"/>
            </w:tcBorders>
            <w:vAlign w:val="center"/>
          </w:tcPr>
          <w:p w14:paraId="5780020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1.6</w:t>
            </w:r>
          </w:p>
        </w:tc>
        <w:tc>
          <w:tcPr>
            <w:tcW w:w="1266" w:type="dxa"/>
            <w:tcBorders>
              <w:top w:val="outset" w:color="auto" w:sz="6" w:space="0"/>
              <w:left w:val="outset" w:color="auto" w:sz="6" w:space="0"/>
              <w:bottom w:val="outset" w:color="auto" w:sz="6" w:space="0"/>
              <w:right w:val="outset" w:color="auto" w:sz="6" w:space="0"/>
            </w:tcBorders>
            <w:vAlign w:val="center"/>
          </w:tcPr>
          <w:p w14:paraId="64DA80D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2.4</w:t>
            </w:r>
          </w:p>
        </w:tc>
        <w:tc>
          <w:tcPr>
            <w:tcW w:w="1311" w:type="dxa"/>
            <w:tcBorders>
              <w:top w:val="outset" w:color="auto" w:sz="6" w:space="0"/>
              <w:left w:val="outset" w:color="auto" w:sz="6" w:space="0"/>
              <w:bottom w:val="outset" w:color="auto" w:sz="6" w:space="0"/>
              <w:right w:val="outset" w:color="auto" w:sz="6" w:space="0"/>
            </w:tcBorders>
            <w:vAlign w:val="center"/>
          </w:tcPr>
          <w:p w14:paraId="2D8D77B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w:t>
            </w:r>
          </w:p>
        </w:tc>
      </w:tr>
      <w:tr w14:paraId="53E58F52">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7805082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兔(4kg)</w:t>
            </w:r>
          </w:p>
        </w:tc>
        <w:tc>
          <w:tcPr>
            <w:tcW w:w="1065" w:type="dxa"/>
            <w:tcBorders>
              <w:top w:val="outset" w:color="auto" w:sz="6" w:space="0"/>
              <w:left w:val="outset" w:color="auto" w:sz="6" w:space="0"/>
              <w:bottom w:val="outset" w:color="auto" w:sz="6" w:space="0"/>
              <w:right w:val="outset" w:color="auto" w:sz="6" w:space="0"/>
            </w:tcBorders>
            <w:vAlign w:val="center"/>
          </w:tcPr>
          <w:p w14:paraId="74167E5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224</w:t>
            </w:r>
          </w:p>
        </w:tc>
        <w:tc>
          <w:tcPr>
            <w:tcW w:w="1356" w:type="dxa"/>
            <w:tcBorders>
              <w:top w:val="outset" w:color="auto" w:sz="6" w:space="0"/>
              <w:left w:val="outset" w:color="auto" w:sz="6" w:space="0"/>
              <w:bottom w:val="outset" w:color="auto" w:sz="6" w:space="0"/>
              <w:right w:val="outset" w:color="auto" w:sz="6" w:space="0"/>
            </w:tcBorders>
            <w:vAlign w:val="center"/>
          </w:tcPr>
          <w:p w14:paraId="1DFA604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17</w:t>
            </w:r>
          </w:p>
        </w:tc>
        <w:tc>
          <w:tcPr>
            <w:tcW w:w="1501" w:type="dxa"/>
            <w:tcBorders>
              <w:top w:val="outset" w:color="auto" w:sz="6" w:space="0"/>
              <w:left w:val="outset" w:color="auto" w:sz="6" w:space="0"/>
              <w:bottom w:val="outset" w:color="auto" w:sz="6" w:space="0"/>
              <w:right w:val="outset" w:color="auto" w:sz="6" w:space="0"/>
            </w:tcBorders>
            <w:vAlign w:val="center"/>
          </w:tcPr>
          <w:p w14:paraId="294C109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22</w:t>
            </w:r>
          </w:p>
        </w:tc>
        <w:tc>
          <w:tcPr>
            <w:tcW w:w="1266" w:type="dxa"/>
            <w:tcBorders>
              <w:top w:val="outset" w:color="auto" w:sz="6" w:space="0"/>
              <w:left w:val="outset" w:color="auto" w:sz="6" w:space="0"/>
              <w:bottom w:val="outset" w:color="auto" w:sz="6" w:space="0"/>
              <w:right w:val="outset" w:color="auto" w:sz="6" w:space="0"/>
            </w:tcBorders>
            <w:vAlign w:val="center"/>
          </w:tcPr>
          <w:p w14:paraId="6625E67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34</w:t>
            </w:r>
          </w:p>
        </w:tc>
        <w:tc>
          <w:tcPr>
            <w:tcW w:w="1311" w:type="dxa"/>
            <w:tcBorders>
              <w:top w:val="outset" w:color="auto" w:sz="6" w:space="0"/>
              <w:left w:val="outset" w:color="auto" w:sz="6" w:space="0"/>
              <w:bottom w:val="outset" w:color="auto" w:sz="6" w:space="0"/>
              <w:right w:val="outset" w:color="auto" w:sz="6" w:space="0"/>
            </w:tcBorders>
            <w:vAlign w:val="center"/>
          </w:tcPr>
          <w:p w14:paraId="5707737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45</w:t>
            </w:r>
          </w:p>
        </w:tc>
      </w:tr>
      <w:tr w14:paraId="45D50DF8">
        <w:tc>
          <w:tcPr>
            <w:tcW w:w="1715" w:type="dxa"/>
            <w:tcBorders>
              <w:top w:val="outset" w:color="auto" w:sz="6" w:space="0"/>
              <w:left w:val="outset" w:color="auto" w:sz="6" w:space="0"/>
              <w:bottom w:val="outset" w:color="auto" w:sz="6" w:space="0"/>
              <w:right w:val="outset" w:color="auto" w:sz="6" w:space="0"/>
            </w:tcBorders>
            <w:vAlign w:val="center"/>
          </w:tcPr>
          <w:p w14:paraId="28B816A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狗(10kg)</w:t>
            </w:r>
          </w:p>
        </w:tc>
        <w:tc>
          <w:tcPr>
            <w:tcW w:w="1065" w:type="dxa"/>
            <w:tcBorders>
              <w:top w:val="outset" w:color="auto" w:sz="6" w:space="0"/>
              <w:left w:val="outset" w:color="auto" w:sz="6" w:space="0"/>
              <w:bottom w:val="outset" w:color="auto" w:sz="6" w:space="0"/>
              <w:right w:val="outset" w:color="auto" w:sz="6" w:space="0"/>
            </w:tcBorders>
            <w:vAlign w:val="center"/>
          </w:tcPr>
          <w:p w14:paraId="3948F02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850</w:t>
            </w:r>
          </w:p>
        </w:tc>
        <w:tc>
          <w:tcPr>
            <w:tcW w:w="1356" w:type="dxa"/>
            <w:tcBorders>
              <w:top w:val="outset" w:color="auto" w:sz="6" w:space="0"/>
              <w:left w:val="outset" w:color="auto" w:sz="6" w:space="0"/>
              <w:bottom w:val="outset" w:color="auto" w:sz="6" w:space="0"/>
              <w:right w:val="outset" w:color="auto" w:sz="6" w:space="0"/>
            </w:tcBorders>
            <w:vAlign w:val="center"/>
          </w:tcPr>
          <w:p w14:paraId="3E322E4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64</w:t>
            </w:r>
          </w:p>
        </w:tc>
        <w:tc>
          <w:tcPr>
            <w:tcW w:w="1501" w:type="dxa"/>
            <w:tcBorders>
              <w:top w:val="outset" w:color="auto" w:sz="6" w:space="0"/>
              <w:left w:val="outset" w:color="auto" w:sz="6" w:space="0"/>
              <w:bottom w:val="outset" w:color="auto" w:sz="6" w:space="0"/>
              <w:right w:val="outset" w:color="auto" w:sz="6" w:space="0"/>
            </w:tcBorders>
            <w:vAlign w:val="center"/>
          </w:tcPr>
          <w:p w14:paraId="262674B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85</w:t>
            </w:r>
          </w:p>
        </w:tc>
        <w:tc>
          <w:tcPr>
            <w:tcW w:w="1266" w:type="dxa"/>
            <w:tcBorders>
              <w:top w:val="outset" w:color="auto" w:sz="6" w:space="0"/>
              <w:left w:val="outset" w:color="auto" w:sz="6" w:space="0"/>
              <w:bottom w:val="outset" w:color="auto" w:sz="6" w:space="0"/>
              <w:right w:val="outset" w:color="auto" w:sz="6" w:space="0"/>
            </w:tcBorders>
            <w:vAlign w:val="center"/>
          </w:tcPr>
          <w:p w14:paraId="2C598F2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127</w:t>
            </w:r>
          </w:p>
        </w:tc>
        <w:tc>
          <w:tcPr>
            <w:tcW w:w="1311" w:type="dxa"/>
            <w:tcBorders>
              <w:top w:val="outset" w:color="auto" w:sz="6" w:space="0"/>
              <w:left w:val="outset" w:color="auto" w:sz="6" w:space="0"/>
              <w:bottom w:val="outset" w:color="auto" w:sz="6" w:space="0"/>
              <w:right w:val="outset" w:color="auto" w:sz="6" w:space="0"/>
            </w:tcBorders>
            <w:vAlign w:val="center"/>
          </w:tcPr>
          <w:p w14:paraId="02D5240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170</w:t>
            </w:r>
          </w:p>
        </w:tc>
      </w:tr>
      <w:tr w14:paraId="1F709CE6">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1985B79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猴(恒河猴)(5kg)</w:t>
            </w:r>
          </w:p>
        </w:tc>
        <w:tc>
          <w:tcPr>
            <w:tcW w:w="1065" w:type="dxa"/>
            <w:tcBorders>
              <w:top w:val="outset" w:color="auto" w:sz="6" w:space="0"/>
              <w:left w:val="outset" w:color="auto" w:sz="6" w:space="0"/>
              <w:bottom w:val="outset" w:color="auto" w:sz="6" w:space="0"/>
              <w:right w:val="outset" w:color="auto" w:sz="6" w:space="0"/>
            </w:tcBorders>
            <w:vAlign w:val="center"/>
          </w:tcPr>
          <w:p w14:paraId="39E1EEA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280</w:t>
            </w:r>
          </w:p>
        </w:tc>
        <w:tc>
          <w:tcPr>
            <w:tcW w:w="1356" w:type="dxa"/>
            <w:tcBorders>
              <w:top w:val="outset" w:color="auto" w:sz="6" w:space="0"/>
              <w:left w:val="outset" w:color="auto" w:sz="6" w:space="0"/>
              <w:bottom w:val="outset" w:color="auto" w:sz="6" w:space="0"/>
              <w:right w:val="outset" w:color="auto" w:sz="6" w:space="0"/>
            </w:tcBorders>
            <w:vAlign w:val="center"/>
          </w:tcPr>
          <w:p w14:paraId="2B8E719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21</w:t>
            </w:r>
          </w:p>
        </w:tc>
        <w:tc>
          <w:tcPr>
            <w:tcW w:w="1501" w:type="dxa"/>
            <w:tcBorders>
              <w:top w:val="outset" w:color="auto" w:sz="6" w:space="0"/>
              <w:left w:val="outset" w:color="auto" w:sz="6" w:space="0"/>
              <w:bottom w:val="outset" w:color="auto" w:sz="6" w:space="0"/>
              <w:right w:val="outset" w:color="auto" w:sz="6" w:space="0"/>
            </w:tcBorders>
            <w:vAlign w:val="center"/>
          </w:tcPr>
          <w:p w14:paraId="12A8624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28</w:t>
            </w:r>
          </w:p>
        </w:tc>
        <w:tc>
          <w:tcPr>
            <w:tcW w:w="1266" w:type="dxa"/>
            <w:tcBorders>
              <w:top w:val="outset" w:color="auto" w:sz="6" w:space="0"/>
              <w:left w:val="outset" w:color="auto" w:sz="6" w:space="0"/>
              <w:bottom w:val="outset" w:color="auto" w:sz="6" w:space="0"/>
              <w:right w:val="outset" w:color="auto" w:sz="6" w:space="0"/>
            </w:tcBorders>
            <w:vAlign w:val="center"/>
          </w:tcPr>
          <w:p w14:paraId="60D029D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42</w:t>
            </w:r>
          </w:p>
        </w:tc>
        <w:tc>
          <w:tcPr>
            <w:tcW w:w="1311" w:type="dxa"/>
            <w:tcBorders>
              <w:top w:val="outset" w:color="auto" w:sz="6" w:space="0"/>
              <w:left w:val="outset" w:color="auto" w:sz="6" w:space="0"/>
              <w:bottom w:val="outset" w:color="auto" w:sz="6" w:space="0"/>
              <w:right w:val="outset" w:color="auto" w:sz="6" w:space="0"/>
            </w:tcBorders>
            <w:vAlign w:val="center"/>
          </w:tcPr>
          <w:p w14:paraId="2CE31A3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r>
      <w:tr w14:paraId="632A6AC7">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3E3FE7E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猴(短尾猴)(5kg)</w:t>
            </w:r>
          </w:p>
        </w:tc>
        <w:tc>
          <w:tcPr>
            <w:tcW w:w="1065" w:type="dxa"/>
            <w:tcBorders>
              <w:top w:val="outset" w:color="auto" w:sz="6" w:space="0"/>
              <w:left w:val="outset" w:color="auto" w:sz="6" w:space="0"/>
              <w:bottom w:val="outset" w:color="auto" w:sz="6" w:space="0"/>
              <w:right w:val="outset" w:color="auto" w:sz="6" w:space="0"/>
            </w:tcBorders>
            <w:vAlign w:val="center"/>
          </w:tcPr>
          <w:p w14:paraId="34AFE27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325</w:t>
            </w:r>
          </w:p>
        </w:tc>
        <w:tc>
          <w:tcPr>
            <w:tcW w:w="1356" w:type="dxa"/>
            <w:tcBorders>
              <w:top w:val="outset" w:color="auto" w:sz="6" w:space="0"/>
              <w:left w:val="outset" w:color="auto" w:sz="6" w:space="0"/>
              <w:bottom w:val="outset" w:color="auto" w:sz="6" w:space="0"/>
              <w:right w:val="outset" w:color="auto" w:sz="6" w:space="0"/>
            </w:tcBorders>
            <w:vAlign w:val="center"/>
          </w:tcPr>
          <w:p w14:paraId="5A905B8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24</w:t>
            </w:r>
          </w:p>
        </w:tc>
        <w:tc>
          <w:tcPr>
            <w:tcW w:w="1501" w:type="dxa"/>
            <w:tcBorders>
              <w:top w:val="outset" w:color="auto" w:sz="6" w:space="0"/>
              <w:left w:val="outset" w:color="auto" w:sz="6" w:space="0"/>
              <w:bottom w:val="outset" w:color="auto" w:sz="6" w:space="0"/>
              <w:right w:val="outset" w:color="auto" w:sz="6" w:space="0"/>
            </w:tcBorders>
            <w:vAlign w:val="center"/>
          </w:tcPr>
          <w:p w14:paraId="6F152C6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w:t>
            </w:r>
          </w:p>
        </w:tc>
        <w:tc>
          <w:tcPr>
            <w:tcW w:w="1266" w:type="dxa"/>
            <w:tcBorders>
              <w:top w:val="outset" w:color="auto" w:sz="6" w:space="0"/>
              <w:left w:val="outset" w:color="auto" w:sz="6" w:space="0"/>
              <w:bottom w:val="outset" w:color="auto" w:sz="6" w:space="0"/>
              <w:right w:val="outset" w:color="auto" w:sz="6" w:space="0"/>
            </w:tcBorders>
            <w:vAlign w:val="center"/>
          </w:tcPr>
          <w:p w14:paraId="1A545E4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49</w:t>
            </w:r>
          </w:p>
        </w:tc>
        <w:tc>
          <w:tcPr>
            <w:tcW w:w="1311" w:type="dxa"/>
            <w:tcBorders>
              <w:top w:val="outset" w:color="auto" w:sz="6" w:space="0"/>
              <w:left w:val="outset" w:color="auto" w:sz="6" w:space="0"/>
              <w:bottom w:val="outset" w:color="auto" w:sz="6" w:space="0"/>
              <w:right w:val="outset" w:color="auto" w:sz="6" w:space="0"/>
            </w:tcBorders>
            <w:vAlign w:val="center"/>
          </w:tcPr>
          <w:p w14:paraId="31B0B55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r>
      <w:tr w14:paraId="702ED836">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6D4F44C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狨猴(350 g)</w:t>
            </w:r>
          </w:p>
        </w:tc>
        <w:tc>
          <w:tcPr>
            <w:tcW w:w="1065" w:type="dxa"/>
            <w:tcBorders>
              <w:top w:val="outset" w:color="auto" w:sz="6" w:space="0"/>
              <w:left w:val="outset" w:color="auto" w:sz="6" w:space="0"/>
              <w:bottom w:val="outset" w:color="auto" w:sz="6" w:space="0"/>
              <w:right w:val="outset" w:color="auto" w:sz="6" w:space="0"/>
            </w:tcBorders>
            <w:vAlign w:val="center"/>
          </w:tcPr>
          <w:p w14:paraId="150DB8F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25</w:t>
            </w:r>
          </w:p>
        </w:tc>
        <w:tc>
          <w:tcPr>
            <w:tcW w:w="1356" w:type="dxa"/>
            <w:tcBorders>
              <w:top w:val="outset" w:color="auto" w:sz="6" w:space="0"/>
              <w:left w:val="outset" w:color="auto" w:sz="6" w:space="0"/>
              <w:bottom w:val="outset" w:color="auto" w:sz="6" w:space="0"/>
              <w:right w:val="outset" w:color="auto" w:sz="6" w:space="0"/>
            </w:tcBorders>
            <w:vAlign w:val="center"/>
          </w:tcPr>
          <w:p w14:paraId="4A7DCA8D">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2.0</w:t>
            </w:r>
          </w:p>
        </w:tc>
        <w:tc>
          <w:tcPr>
            <w:tcW w:w="1501" w:type="dxa"/>
            <w:tcBorders>
              <w:top w:val="outset" w:color="auto" w:sz="6" w:space="0"/>
              <w:left w:val="outset" w:color="auto" w:sz="6" w:space="0"/>
              <w:bottom w:val="outset" w:color="auto" w:sz="6" w:space="0"/>
              <w:right w:val="outset" w:color="auto" w:sz="6" w:space="0"/>
            </w:tcBorders>
            <w:vAlign w:val="center"/>
          </w:tcPr>
          <w:p w14:paraId="56D04F8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2.5</w:t>
            </w:r>
          </w:p>
        </w:tc>
        <w:tc>
          <w:tcPr>
            <w:tcW w:w="1266" w:type="dxa"/>
            <w:tcBorders>
              <w:top w:val="outset" w:color="auto" w:sz="6" w:space="0"/>
              <w:left w:val="outset" w:color="auto" w:sz="6" w:space="0"/>
              <w:bottom w:val="outset" w:color="auto" w:sz="6" w:space="0"/>
              <w:right w:val="outset" w:color="auto" w:sz="6" w:space="0"/>
            </w:tcBorders>
            <w:vAlign w:val="center"/>
          </w:tcPr>
          <w:p w14:paraId="1086B7E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3.5</w:t>
            </w:r>
          </w:p>
        </w:tc>
        <w:tc>
          <w:tcPr>
            <w:tcW w:w="1311" w:type="dxa"/>
            <w:tcBorders>
              <w:top w:val="outset" w:color="auto" w:sz="6" w:space="0"/>
              <w:left w:val="outset" w:color="auto" w:sz="6" w:space="0"/>
              <w:bottom w:val="outset" w:color="auto" w:sz="6" w:space="0"/>
              <w:right w:val="outset" w:color="auto" w:sz="6" w:space="0"/>
            </w:tcBorders>
            <w:vAlign w:val="center"/>
          </w:tcPr>
          <w:p w14:paraId="1B49903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5</w:t>
            </w:r>
          </w:p>
        </w:tc>
      </w:tr>
      <w:tr w14:paraId="4B6E3E2D">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502972F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小型猪(15 kg)</w:t>
            </w:r>
          </w:p>
        </w:tc>
        <w:tc>
          <w:tcPr>
            <w:tcW w:w="1065" w:type="dxa"/>
            <w:tcBorders>
              <w:top w:val="outset" w:color="auto" w:sz="6" w:space="0"/>
              <w:left w:val="outset" w:color="auto" w:sz="6" w:space="0"/>
              <w:bottom w:val="outset" w:color="auto" w:sz="6" w:space="0"/>
              <w:right w:val="outset" w:color="auto" w:sz="6" w:space="0"/>
            </w:tcBorders>
            <w:vAlign w:val="center"/>
          </w:tcPr>
          <w:p w14:paraId="612C8EE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975</w:t>
            </w:r>
          </w:p>
        </w:tc>
        <w:tc>
          <w:tcPr>
            <w:tcW w:w="1356" w:type="dxa"/>
            <w:tcBorders>
              <w:top w:val="outset" w:color="auto" w:sz="6" w:space="0"/>
              <w:left w:val="outset" w:color="auto" w:sz="6" w:space="0"/>
              <w:bottom w:val="outset" w:color="auto" w:sz="6" w:space="0"/>
              <w:right w:val="outset" w:color="auto" w:sz="6" w:space="0"/>
            </w:tcBorders>
            <w:vAlign w:val="center"/>
          </w:tcPr>
          <w:p w14:paraId="0573029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73</w:t>
            </w:r>
          </w:p>
        </w:tc>
        <w:tc>
          <w:tcPr>
            <w:tcW w:w="1501" w:type="dxa"/>
            <w:tcBorders>
              <w:top w:val="outset" w:color="auto" w:sz="6" w:space="0"/>
              <w:left w:val="outset" w:color="auto" w:sz="6" w:space="0"/>
              <w:bottom w:val="outset" w:color="auto" w:sz="6" w:space="0"/>
              <w:right w:val="outset" w:color="auto" w:sz="6" w:space="0"/>
            </w:tcBorders>
            <w:vAlign w:val="center"/>
          </w:tcPr>
          <w:p w14:paraId="2837506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98</w:t>
            </w:r>
          </w:p>
        </w:tc>
        <w:tc>
          <w:tcPr>
            <w:tcW w:w="1266" w:type="dxa"/>
            <w:tcBorders>
              <w:top w:val="outset" w:color="auto" w:sz="6" w:space="0"/>
              <w:left w:val="outset" w:color="auto" w:sz="6" w:space="0"/>
              <w:bottom w:val="outset" w:color="auto" w:sz="6" w:space="0"/>
              <w:right w:val="outset" w:color="auto" w:sz="6" w:space="0"/>
            </w:tcBorders>
            <w:vAlign w:val="center"/>
          </w:tcPr>
          <w:p w14:paraId="6D14F27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146</w:t>
            </w:r>
          </w:p>
        </w:tc>
        <w:tc>
          <w:tcPr>
            <w:tcW w:w="1311" w:type="dxa"/>
            <w:tcBorders>
              <w:top w:val="outset" w:color="auto" w:sz="6" w:space="0"/>
              <w:left w:val="outset" w:color="auto" w:sz="6" w:space="0"/>
              <w:bottom w:val="outset" w:color="auto" w:sz="6" w:space="0"/>
              <w:right w:val="outset" w:color="auto" w:sz="6" w:space="0"/>
            </w:tcBorders>
            <w:vAlign w:val="center"/>
          </w:tcPr>
          <w:p w14:paraId="57A7622D">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195</w:t>
            </w:r>
          </w:p>
        </w:tc>
      </w:tr>
    </w:tbl>
    <w:p w14:paraId="5A6D6C35">
      <w:pPr>
        <w:rPr>
          <w:rFonts w:ascii="黑体" w:hAnsi="黑体" w:eastAsia="黑体"/>
          <w:b/>
          <w:bCs/>
          <w:color w:val="0070C0"/>
          <w:szCs w:val="21"/>
        </w:rPr>
      </w:pPr>
    </w:p>
    <w:p w14:paraId="0186C025">
      <w:pPr>
        <w:rPr>
          <w:rFonts w:ascii="黑体" w:hAnsi="黑体" w:eastAsia="黑体"/>
          <w:b/>
          <w:bCs/>
          <w:color w:val="0070C0"/>
          <w:szCs w:val="21"/>
        </w:rPr>
      </w:pPr>
    </w:p>
    <w:p w14:paraId="6AC9D7B3">
      <w:pPr>
        <w:jc w:val="center"/>
        <w:rPr>
          <w:rFonts w:ascii="黑体" w:hAnsi="黑体" w:eastAsia="黑体"/>
          <w:b/>
          <w:bCs/>
          <w:color w:val="0070C0"/>
          <w:sz w:val="32"/>
          <w:szCs w:val="32"/>
        </w:rPr>
      </w:pPr>
      <w:r>
        <w:rPr>
          <w:rFonts w:hint="eastAsia" w:ascii="黑体" w:hAnsi="黑体" w:eastAsia="黑体"/>
          <w:b/>
          <w:bCs/>
          <w:color w:val="0070C0"/>
          <w:sz w:val="32"/>
          <w:szCs w:val="32"/>
        </w:rPr>
        <w:t>实验动物麻醉药物使用指南</w:t>
      </w:r>
    </w:p>
    <w:p w14:paraId="00B67988">
      <w:pPr>
        <w:rPr>
          <w:rFonts w:hint="eastAsia" w:ascii="宋体" w:hAnsi="宋体" w:eastAsia="宋体" w:cs="宋体"/>
          <w:b w:val="0"/>
          <w:bCs w:val="0"/>
          <w:sz w:val="21"/>
          <w:szCs w:val="21"/>
        </w:rPr>
      </w:pPr>
      <w:r>
        <w:rPr>
          <w:rFonts w:hint="eastAsia" w:ascii="宋体" w:hAnsi="宋体" w:eastAsia="宋体" w:cs="宋体"/>
          <w:b w:val="0"/>
          <w:bCs w:val="0"/>
          <w:sz w:val="21"/>
          <w:szCs w:val="21"/>
        </w:rPr>
        <w:t>一、术前照护</w:t>
      </w:r>
    </w:p>
    <w:p w14:paraId="736105E8">
      <w:pPr>
        <w:rPr>
          <w:rFonts w:hint="eastAsia" w:ascii="宋体" w:hAnsi="宋体" w:eastAsia="宋体" w:cs="宋体"/>
          <w:b w:val="0"/>
          <w:bCs w:val="0"/>
          <w:sz w:val="21"/>
          <w:szCs w:val="21"/>
        </w:rPr>
      </w:pPr>
      <w:r>
        <w:rPr>
          <w:rFonts w:hint="eastAsia" w:ascii="宋体" w:hAnsi="宋体" w:eastAsia="宋体" w:cs="宋体"/>
          <w:b w:val="0"/>
          <w:bCs w:val="0"/>
          <w:sz w:val="21"/>
          <w:szCs w:val="21"/>
        </w:rPr>
        <w:t>（一）术前禁食时长</w:t>
      </w:r>
    </w:p>
    <w:p w14:paraId="6C2C9BA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·犬、猫、灵长类、猪一般术前禁食8-12小时。</w:t>
      </w:r>
    </w:p>
    <w:p w14:paraId="065B48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·小型啮齿类动物（大小鼠、豚鼠）及兔不易发生呕吐，所以一般手术前不需要禁食；如一定要对动物进行禁食，大鼠不可超过18小时，小鼠不可超过16小时。</w:t>
      </w:r>
    </w:p>
    <w:p w14:paraId="7701EE4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·反刍兽禁食对瘤胃中消化液无影响，除非长期禁食3-4天；短期禁食(12-24小时)可降低瘤胃鼓涨发生机会。</w:t>
      </w:r>
    </w:p>
    <w:p w14:paraId="201FB49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·任何种类的怀孕动物在麻醉前最好禁食12小时以内，但反刍动物可能会引起致死性代谢障碍。</w:t>
      </w:r>
    </w:p>
    <w:p w14:paraId="0E274D45">
      <w:pPr>
        <w:rPr>
          <w:rFonts w:hint="eastAsia" w:ascii="宋体" w:hAnsi="宋体" w:eastAsia="宋体" w:cs="宋体"/>
          <w:b w:val="0"/>
          <w:bCs w:val="0"/>
          <w:sz w:val="21"/>
          <w:szCs w:val="21"/>
        </w:rPr>
      </w:pPr>
      <w:r>
        <w:rPr>
          <w:rFonts w:hint="eastAsia" w:ascii="宋体" w:hAnsi="宋体" w:eastAsia="宋体" w:cs="宋体"/>
          <w:b w:val="0"/>
          <w:bCs w:val="0"/>
          <w:sz w:val="21"/>
          <w:szCs w:val="21"/>
        </w:rPr>
        <w:t>（二）应急处理预案的准备</w:t>
      </w:r>
    </w:p>
    <w:p w14:paraId="14CC1BD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在动物麻醉过程中往往有可能出现呼吸停止、心跳停止等现象，在术中对动物的麻醉深度和机体情况进行密切监视，视情况准备阿托品（Atropine）、10% CaCl</w:t>
      </w:r>
      <w:r>
        <w:rPr>
          <w:rFonts w:hint="eastAsia" w:ascii="宋体" w:hAnsi="宋体" w:eastAsia="宋体" w:cs="宋体"/>
          <w:b w:val="0"/>
          <w:bCs w:val="0"/>
          <w:sz w:val="21"/>
          <w:szCs w:val="21"/>
          <w:vertAlign w:val="subscript"/>
        </w:rPr>
        <w:t>2</w:t>
      </w:r>
      <w:r>
        <w:rPr>
          <w:rFonts w:hint="eastAsia" w:ascii="宋体" w:hAnsi="宋体" w:eastAsia="宋体" w:cs="宋体"/>
          <w:b w:val="0"/>
          <w:bCs w:val="0"/>
          <w:sz w:val="21"/>
          <w:szCs w:val="21"/>
        </w:rPr>
        <w:t>、地塞米松（Dexamethasone）、多巴胺（Doxapram）、肾上腺素（Epinephrine）、碳酸氢钠（Sodium Bicarbonate）等急救药物。</w:t>
      </w:r>
    </w:p>
    <w:p w14:paraId="4E444660">
      <w:pPr>
        <w:rPr>
          <w:rFonts w:hint="eastAsia" w:ascii="宋体" w:hAnsi="宋体" w:eastAsia="宋体" w:cs="宋体"/>
          <w:b w:val="0"/>
          <w:bCs w:val="0"/>
          <w:sz w:val="21"/>
          <w:szCs w:val="21"/>
        </w:rPr>
      </w:pPr>
      <w:r>
        <w:rPr>
          <w:rFonts w:hint="eastAsia" w:ascii="宋体" w:hAnsi="宋体" w:eastAsia="宋体" w:cs="宋体"/>
          <w:b w:val="0"/>
          <w:bCs w:val="0"/>
          <w:sz w:val="21"/>
          <w:szCs w:val="21"/>
        </w:rPr>
        <w:t>二、常见实验动物镇静剂与麻醉剂</w:t>
      </w:r>
    </w:p>
    <w:p w14:paraId="2C4CBE0C">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（一）抗胆碱性药物(Anticholinergices)</w:t>
      </w:r>
    </w:p>
    <w:tbl>
      <w:tblPr>
        <w:tblStyle w:val="14"/>
        <w:tblW w:w="0" w:type="auto"/>
        <w:tblInd w:w="0" w:type="dxa"/>
        <w:tblLayout w:type="autofit"/>
        <w:tblCellMar>
          <w:top w:w="0" w:type="dxa"/>
          <w:left w:w="0" w:type="dxa"/>
          <w:bottom w:w="0" w:type="dxa"/>
          <w:right w:w="0" w:type="dxa"/>
        </w:tblCellMar>
      </w:tblPr>
      <w:tblGrid>
        <w:gridCol w:w="2193"/>
        <w:gridCol w:w="2869"/>
        <w:gridCol w:w="3228"/>
      </w:tblGrid>
      <w:tr w14:paraId="75BF2C7C">
        <w:tblPrEx>
          <w:tblCellMar>
            <w:top w:w="0" w:type="dxa"/>
            <w:left w:w="0" w:type="dxa"/>
            <w:bottom w:w="0" w:type="dxa"/>
            <w:right w:w="0" w:type="dxa"/>
          </w:tblCellMar>
        </w:tblPrEx>
        <w:tc>
          <w:tcPr>
            <w:tcW w:w="2193" w:type="dxa"/>
            <w:tcBorders>
              <w:top w:val="single" w:color="000000" w:sz="6" w:space="0"/>
              <w:left w:val="single" w:color="000000" w:sz="6" w:space="0"/>
              <w:bottom w:val="single" w:color="000000" w:sz="6" w:space="0"/>
              <w:right w:val="single" w:color="000000" w:sz="6" w:space="0"/>
            </w:tcBorders>
          </w:tcPr>
          <w:p w14:paraId="02F9BE4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869" w:type="dxa"/>
            <w:tcBorders>
              <w:top w:val="single" w:color="000000" w:sz="6" w:space="0"/>
              <w:left w:val="single" w:color="000000" w:sz="6" w:space="0"/>
              <w:bottom w:val="single" w:color="000000" w:sz="6" w:space="0"/>
              <w:right w:val="single" w:color="000000" w:sz="6" w:space="0"/>
            </w:tcBorders>
          </w:tcPr>
          <w:p w14:paraId="4204C218">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3228" w:type="dxa"/>
            <w:tcBorders>
              <w:top w:val="single" w:color="000000" w:sz="6" w:space="0"/>
              <w:left w:val="single" w:color="000000" w:sz="6" w:space="0"/>
              <w:bottom w:val="single" w:color="000000" w:sz="6" w:space="0"/>
              <w:right w:val="single" w:color="000000" w:sz="6" w:space="0"/>
            </w:tcBorders>
          </w:tcPr>
          <w:p w14:paraId="4B96DD9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r>
      <w:tr w14:paraId="597E0A2F">
        <w:tblPrEx>
          <w:tblCellMar>
            <w:top w:w="0" w:type="dxa"/>
            <w:left w:w="0" w:type="dxa"/>
            <w:bottom w:w="0" w:type="dxa"/>
            <w:right w:w="0" w:type="dxa"/>
          </w:tblCellMar>
        </w:tblPrEx>
        <w:tc>
          <w:tcPr>
            <w:tcW w:w="2193" w:type="dxa"/>
            <w:tcBorders>
              <w:top w:val="nil"/>
              <w:left w:val="single" w:color="000000" w:sz="6" w:space="0"/>
              <w:bottom w:val="single" w:color="000000" w:sz="6" w:space="0"/>
              <w:right w:val="single" w:color="000000" w:sz="6" w:space="0"/>
            </w:tcBorders>
          </w:tcPr>
          <w:p w14:paraId="421A9A51">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阿托品（Atropine）</w:t>
            </w:r>
          </w:p>
        </w:tc>
        <w:tc>
          <w:tcPr>
            <w:tcW w:w="2869" w:type="dxa"/>
            <w:tcBorders>
              <w:top w:val="nil"/>
              <w:left w:val="single" w:color="000000" w:sz="6" w:space="0"/>
              <w:bottom w:val="single" w:color="000000" w:sz="6" w:space="0"/>
              <w:right w:val="single" w:color="000000" w:sz="6" w:space="0"/>
            </w:tcBorders>
          </w:tcPr>
          <w:p w14:paraId="119EE647">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1）抑制呼吸道及唾液腺分泌物。</w:t>
            </w:r>
          </w:p>
          <w:p w14:paraId="17F4E4E6">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2）防上心脏受到迷走神经兴奋所产生之心跳迟缓。</w:t>
            </w:r>
          </w:p>
        </w:tc>
        <w:tc>
          <w:tcPr>
            <w:tcW w:w="3228" w:type="dxa"/>
            <w:tcBorders>
              <w:top w:val="nil"/>
              <w:left w:val="single" w:color="000000" w:sz="6" w:space="0"/>
              <w:bottom w:val="single" w:color="000000" w:sz="6" w:space="0"/>
              <w:right w:val="single" w:color="000000" w:sz="6" w:space="0"/>
            </w:tcBorders>
          </w:tcPr>
          <w:p w14:paraId="28FDFA6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1）心跳速率增加时避免使用。</w:t>
            </w:r>
          </w:p>
          <w:p w14:paraId="327B6F9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2）心脏手术时，避免使用。</w:t>
            </w:r>
          </w:p>
          <w:p w14:paraId="44750CEF">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3）某些品系的猫、大鼠、兔等会分解此药。</w:t>
            </w:r>
          </w:p>
        </w:tc>
      </w:tr>
    </w:tbl>
    <w:p w14:paraId="66B448D8">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（二）镇静剂(Tranquilizers and Sedatives)</w:t>
      </w:r>
    </w:p>
    <w:p w14:paraId="2D5B6B7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1、酚噻嗪类（Phenothiazines）</w:t>
      </w:r>
    </w:p>
    <w:tbl>
      <w:tblPr>
        <w:tblStyle w:val="14"/>
        <w:tblW w:w="0" w:type="auto"/>
        <w:tblInd w:w="0" w:type="dxa"/>
        <w:tblLayout w:type="fixed"/>
        <w:tblCellMar>
          <w:top w:w="0" w:type="dxa"/>
          <w:left w:w="0" w:type="dxa"/>
          <w:bottom w:w="0" w:type="dxa"/>
          <w:right w:w="0" w:type="dxa"/>
        </w:tblCellMar>
      </w:tblPr>
      <w:tblGrid>
        <w:gridCol w:w="1804"/>
        <w:gridCol w:w="2266"/>
        <w:gridCol w:w="2256"/>
        <w:gridCol w:w="1964"/>
      </w:tblGrid>
      <w:tr w14:paraId="53E8F06A">
        <w:tblPrEx>
          <w:tblCellMar>
            <w:top w:w="0" w:type="dxa"/>
            <w:left w:w="0" w:type="dxa"/>
            <w:bottom w:w="0" w:type="dxa"/>
            <w:right w:w="0" w:type="dxa"/>
          </w:tblCellMar>
        </w:tblPrEx>
        <w:tc>
          <w:tcPr>
            <w:tcW w:w="1804" w:type="dxa"/>
            <w:tcBorders>
              <w:top w:val="single" w:color="000000" w:sz="6" w:space="0"/>
              <w:left w:val="single" w:color="000000" w:sz="6" w:space="0"/>
              <w:bottom w:val="single" w:color="000000" w:sz="6" w:space="0"/>
              <w:right w:val="single" w:color="000000" w:sz="6" w:space="0"/>
            </w:tcBorders>
          </w:tcPr>
          <w:p w14:paraId="129520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266" w:type="dxa"/>
            <w:tcBorders>
              <w:top w:val="single" w:color="000000" w:sz="6" w:space="0"/>
              <w:left w:val="single" w:color="000000" w:sz="6" w:space="0"/>
              <w:bottom w:val="single" w:color="000000" w:sz="6" w:space="0"/>
              <w:right w:val="single" w:color="000000" w:sz="6" w:space="0"/>
            </w:tcBorders>
          </w:tcPr>
          <w:p w14:paraId="7E1F99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56" w:type="dxa"/>
            <w:tcBorders>
              <w:top w:val="single" w:color="000000" w:sz="6" w:space="0"/>
              <w:left w:val="single" w:color="000000" w:sz="6" w:space="0"/>
              <w:bottom w:val="single" w:color="000000" w:sz="6" w:space="0"/>
              <w:right w:val="single" w:color="000000" w:sz="6" w:space="0"/>
            </w:tcBorders>
          </w:tcPr>
          <w:p w14:paraId="1D5B112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964" w:type="dxa"/>
            <w:tcBorders>
              <w:top w:val="single" w:color="000000" w:sz="6" w:space="0"/>
              <w:left w:val="single" w:color="000000" w:sz="6" w:space="0"/>
              <w:bottom w:val="single" w:color="000000" w:sz="6" w:space="0"/>
              <w:right w:val="single" w:color="000000" w:sz="6" w:space="0"/>
            </w:tcBorders>
          </w:tcPr>
          <w:p w14:paraId="49AED9D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0C97B5B9">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2A5BF963">
            <w:pPr>
              <w:rPr>
                <w:rFonts w:hint="eastAsia" w:ascii="宋体" w:hAnsi="宋体" w:eastAsia="宋体" w:cs="宋体"/>
                <w:b w:val="0"/>
                <w:bCs w:val="0"/>
                <w:sz w:val="21"/>
                <w:szCs w:val="21"/>
              </w:rPr>
            </w:pPr>
            <w:r>
              <w:rPr>
                <w:rFonts w:hint="eastAsia" w:ascii="宋体" w:hAnsi="宋体" w:eastAsia="宋体" w:cs="宋体"/>
                <w:b w:val="0"/>
                <w:bCs w:val="0"/>
                <w:sz w:val="21"/>
                <w:szCs w:val="21"/>
              </w:rPr>
              <w:t>氯丙嗪（Chlorpromazine）</w:t>
            </w:r>
          </w:p>
          <w:p w14:paraId="257B0D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（原型）</w:t>
            </w:r>
          </w:p>
        </w:tc>
        <w:tc>
          <w:tcPr>
            <w:tcW w:w="2266" w:type="dxa"/>
            <w:vMerge w:val="restart"/>
            <w:tcBorders>
              <w:top w:val="nil"/>
              <w:left w:val="single" w:color="000000" w:sz="6" w:space="0"/>
              <w:bottom w:val="single" w:color="000000" w:sz="6" w:space="0"/>
              <w:right w:val="single" w:color="000000" w:sz="6" w:space="0"/>
            </w:tcBorders>
          </w:tcPr>
          <w:p w14:paraId="7CC1CC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抑制脑干及大脑皮质，产生安静和减低运动性作用。</w:t>
            </w:r>
          </w:p>
          <w:p w14:paraId="31D7E4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抑制呕吐。</w:t>
            </w:r>
          </w:p>
          <w:p w14:paraId="426A74B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和麻醉止痛剂并用，形成神经性安定镇痛药。</w:t>
            </w:r>
          </w:p>
        </w:tc>
        <w:tc>
          <w:tcPr>
            <w:tcW w:w="2256" w:type="dxa"/>
            <w:vMerge w:val="restart"/>
            <w:tcBorders>
              <w:top w:val="nil"/>
              <w:left w:val="single" w:color="000000" w:sz="6" w:space="0"/>
              <w:bottom w:val="single" w:color="000000" w:sz="6" w:space="0"/>
              <w:right w:val="single" w:color="000000" w:sz="6" w:space="0"/>
            </w:tcBorders>
          </w:tcPr>
          <w:p w14:paraId="090C58D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因血管扩张而造成血压降低。</w:t>
            </w:r>
          </w:p>
          <w:p w14:paraId="39B9DB9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温度调节受抑制，易产生体温降低。</w:t>
            </w:r>
          </w:p>
          <w:p w14:paraId="2A2A30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高剂量时之肌肉僵直、震颤等现象。</w:t>
            </w:r>
          </w:p>
        </w:tc>
        <w:tc>
          <w:tcPr>
            <w:tcW w:w="1964" w:type="dxa"/>
            <w:vMerge w:val="restart"/>
            <w:tcBorders>
              <w:top w:val="nil"/>
              <w:left w:val="single" w:color="000000" w:sz="6" w:space="0"/>
              <w:bottom w:val="single" w:color="000000" w:sz="6" w:space="0"/>
              <w:right w:val="single" w:color="000000" w:sz="6" w:space="0"/>
            </w:tcBorders>
          </w:tcPr>
          <w:p w14:paraId="2F9C5FF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脱水、出血或任何体液不平衡现象，使用此药物要小心。</w:t>
            </w:r>
          </w:p>
          <w:p w14:paraId="1D1A14A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可与解离性麻醉剂何用，改善副作用。</w:t>
            </w:r>
          </w:p>
        </w:tc>
      </w:tr>
      <w:tr w14:paraId="06DFE448">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33232644">
            <w:pPr>
              <w:rPr>
                <w:rFonts w:hint="eastAsia" w:ascii="宋体" w:hAnsi="宋体" w:eastAsia="宋体" w:cs="宋体"/>
                <w:b w:val="0"/>
                <w:bCs w:val="0"/>
                <w:sz w:val="21"/>
                <w:szCs w:val="21"/>
              </w:rPr>
            </w:pPr>
            <w:r>
              <w:rPr>
                <w:rFonts w:hint="eastAsia" w:ascii="宋体" w:hAnsi="宋体" w:eastAsia="宋体" w:cs="宋体"/>
                <w:b w:val="0"/>
                <w:bCs w:val="0"/>
                <w:sz w:val="21"/>
                <w:szCs w:val="21"/>
              </w:rPr>
              <w:t>乙酰丙嗪（Acepromazine）</w:t>
            </w:r>
          </w:p>
          <w:p w14:paraId="667FD10C">
            <w:pPr>
              <w:rPr>
                <w:rFonts w:hint="eastAsia" w:ascii="宋体" w:hAnsi="宋体" w:eastAsia="宋体" w:cs="宋体"/>
                <w:b w:val="0"/>
                <w:bCs w:val="0"/>
                <w:sz w:val="21"/>
                <w:szCs w:val="21"/>
              </w:rPr>
            </w:pPr>
            <w:r>
              <w:rPr>
                <w:rFonts w:hint="eastAsia" w:ascii="宋体" w:hAnsi="宋体" w:eastAsia="宋体" w:cs="宋体"/>
                <w:b w:val="0"/>
                <w:bCs w:val="0"/>
                <w:sz w:val="21"/>
                <w:szCs w:val="21"/>
              </w:rPr>
              <w:t>（使用最广泛）</w:t>
            </w:r>
          </w:p>
        </w:tc>
        <w:tc>
          <w:tcPr>
            <w:tcW w:w="2266" w:type="dxa"/>
            <w:vMerge w:val="continue"/>
            <w:tcBorders>
              <w:top w:val="nil"/>
              <w:left w:val="single" w:color="000000" w:sz="6" w:space="0"/>
              <w:bottom w:val="single" w:color="000000" w:sz="6" w:space="0"/>
              <w:right w:val="single" w:color="000000" w:sz="6" w:space="0"/>
            </w:tcBorders>
            <w:vAlign w:val="center"/>
          </w:tcPr>
          <w:p w14:paraId="5083AB1A">
            <w:pPr>
              <w:ind w:firstLine="420" w:firstLineChars="200"/>
              <w:rPr>
                <w:rFonts w:hint="eastAsia" w:ascii="宋体" w:hAnsi="宋体" w:eastAsia="宋体" w:cs="宋体"/>
                <w:b w:val="0"/>
                <w:bCs w:val="0"/>
                <w:sz w:val="21"/>
                <w:szCs w:val="21"/>
              </w:rPr>
            </w:pPr>
          </w:p>
        </w:tc>
        <w:tc>
          <w:tcPr>
            <w:tcW w:w="2256" w:type="dxa"/>
            <w:vMerge w:val="continue"/>
            <w:tcBorders>
              <w:top w:val="nil"/>
              <w:left w:val="single" w:color="000000" w:sz="6" w:space="0"/>
              <w:bottom w:val="single" w:color="000000" w:sz="6" w:space="0"/>
              <w:right w:val="single" w:color="000000" w:sz="6" w:space="0"/>
            </w:tcBorders>
            <w:vAlign w:val="center"/>
          </w:tcPr>
          <w:p w14:paraId="6647D3F1">
            <w:pPr>
              <w:ind w:firstLine="420" w:firstLineChars="200"/>
              <w:rPr>
                <w:rFonts w:hint="eastAsia" w:ascii="宋体" w:hAnsi="宋体" w:eastAsia="宋体" w:cs="宋体"/>
                <w:b w:val="0"/>
                <w:bCs w:val="0"/>
                <w:sz w:val="21"/>
                <w:szCs w:val="21"/>
              </w:rPr>
            </w:pPr>
          </w:p>
        </w:tc>
        <w:tc>
          <w:tcPr>
            <w:tcW w:w="1964" w:type="dxa"/>
            <w:vMerge w:val="continue"/>
            <w:tcBorders>
              <w:top w:val="nil"/>
              <w:left w:val="single" w:color="000000" w:sz="6" w:space="0"/>
              <w:bottom w:val="single" w:color="000000" w:sz="6" w:space="0"/>
              <w:right w:val="single" w:color="000000" w:sz="6" w:space="0"/>
            </w:tcBorders>
            <w:vAlign w:val="center"/>
          </w:tcPr>
          <w:p w14:paraId="6C9ABA09">
            <w:pPr>
              <w:ind w:firstLine="420" w:firstLineChars="200"/>
              <w:rPr>
                <w:rFonts w:hint="eastAsia" w:ascii="宋体" w:hAnsi="宋体" w:eastAsia="宋体" w:cs="宋体"/>
                <w:b w:val="0"/>
                <w:bCs w:val="0"/>
                <w:sz w:val="21"/>
                <w:szCs w:val="21"/>
              </w:rPr>
            </w:pPr>
          </w:p>
        </w:tc>
      </w:tr>
      <w:tr w14:paraId="297E8B24">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56455F1E">
            <w:pPr>
              <w:rPr>
                <w:rFonts w:hint="eastAsia" w:ascii="宋体" w:hAnsi="宋体" w:eastAsia="宋体" w:cs="宋体"/>
                <w:b w:val="0"/>
                <w:bCs w:val="0"/>
                <w:sz w:val="21"/>
                <w:szCs w:val="21"/>
              </w:rPr>
            </w:pPr>
            <w:r>
              <w:rPr>
                <w:rFonts w:hint="eastAsia" w:ascii="宋体" w:hAnsi="宋体" w:eastAsia="宋体" w:cs="宋体"/>
                <w:b w:val="0"/>
                <w:bCs w:val="0"/>
                <w:sz w:val="21"/>
                <w:szCs w:val="21"/>
              </w:rPr>
              <w:t>乙酰普马嗪（Promazine）</w:t>
            </w:r>
          </w:p>
          <w:p w14:paraId="3E5EEE3F">
            <w:pPr>
              <w:rPr>
                <w:rFonts w:hint="eastAsia" w:ascii="宋体" w:hAnsi="宋体" w:eastAsia="宋体" w:cs="宋体"/>
                <w:b w:val="0"/>
                <w:bCs w:val="0"/>
                <w:sz w:val="21"/>
                <w:szCs w:val="21"/>
              </w:rPr>
            </w:pPr>
            <w:r>
              <w:rPr>
                <w:rFonts w:hint="eastAsia" w:ascii="宋体" w:hAnsi="宋体" w:eastAsia="宋体" w:cs="宋体"/>
                <w:b w:val="0"/>
                <w:bCs w:val="0"/>
                <w:sz w:val="21"/>
                <w:szCs w:val="21"/>
              </w:rPr>
              <w:t>（使用最安全）</w:t>
            </w:r>
          </w:p>
        </w:tc>
        <w:tc>
          <w:tcPr>
            <w:tcW w:w="2266" w:type="dxa"/>
            <w:vMerge w:val="continue"/>
            <w:tcBorders>
              <w:top w:val="nil"/>
              <w:left w:val="single" w:color="000000" w:sz="6" w:space="0"/>
              <w:bottom w:val="single" w:color="000000" w:sz="6" w:space="0"/>
              <w:right w:val="single" w:color="000000" w:sz="6" w:space="0"/>
            </w:tcBorders>
            <w:vAlign w:val="center"/>
          </w:tcPr>
          <w:p w14:paraId="5AE6B363">
            <w:pPr>
              <w:ind w:firstLine="420" w:firstLineChars="200"/>
              <w:rPr>
                <w:rFonts w:hint="eastAsia" w:ascii="宋体" w:hAnsi="宋体" w:eastAsia="宋体" w:cs="宋体"/>
                <w:b w:val="0"/>
                <w:bCs w:val="0"/>
                <w:sz w:val="21"/>
                <w:szCs w:val="21"/>
              </w:rPr>
            </w:pPr>
          </w:p>
        </w:tc>
        <w:tc>
          <w:tcPr>
            <w:tcW w:w="2256" w:type="dxa"/>
            <w:vMerge w:val="continue"/>
            <w:tcBorders>
              <w:top w:val="nil"/>
              <w:left w:val="single" w:color="000000" w:sz="6" w:space="0"/>
              <w:bottom w:val="single" w:color="000000" w:sz="6" w:space="0"/>
              <w:right w:val="single" w:color="000000" w:sz="6" w:space="0"/>
            </w:tcBorders>
            <w:vAlign w:val="center"/>
          </w:tcPr>
          <w:p w14:paraId="5F7CC843">
            <w:pPr>
              <w:ind w:firstLine="420" w:firstLineChars="200"/>
              <w:rPr>
                <w:rFonts w:hint="eastAsia" w:ascii="宋体" w:hAnsi="宋体" w:eastAsia="宋体" w:cs="宋体"/>
                <w:b w:val="0"/>
                <w:bCs w:val="0"/>
                <w:sz w:val="21"/>
                <w:szCs w:val="21"/>
              </w:rPr>
            </w:pPr>
          </w:p>
        </w:tc>
        <w:tc>
          <w:tcPr>
            <w:tcW w:w="1964" w:type="dxa"/>
            <w:vMerge w:val="continue"/>
            <w:tcBorders>
              <w:top w:val="nil"/>
              <w:left w:val="single" w:color="000000" w:sz="6" w:space="0"/>
              <w:bottom w:val="single" w:color="000000" w:sz="6" w:space="0"/>
              <w:right w:val="single" w:color="000000" w:sz="6" w:space="0"/>
            </w:tcBorders>
            <w:vAlign w:val="center"/>
          </w:tcPr>
          <w:p w14:paraId="511B9060">
            <w:pPr>
              <w:ind w:firstLine="420" w:firstLineChars="200"/>
              <w:rPr>
                <w:rFonts w:hint="eastAsia" w:ascii="宋体" w:hAnsi="宋体" w:eastAsia="宋体" w:cs="宋体"/>
                <w:b w:val="0"/>
                <w:bCs w:val="0"/>
                <w:sz w:val="21"/>
                <w:szCs w:val="21"/>
              </w:rPr>
            </w:pPr>
          </w:p>
        </w:tc>
      </w:tr>
    </w:tbl>
    <w:p w14:paraId="6A9449B3">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2、丁酰苯类（Butyrophenones）</w:t>
      </w:r>
    </w:p>
    <w:tbl>
      <w:tblPr>
        <w:tblStyle w:val="14"/>
        <w:tblW w:w="0" w:type="auto"/>
        <w:tblInd w:w="0" w:type="dxa"/>
        <w:tblLayout w:type="autofit"/>
        <w:tblCellMar>
          <w:top w:w="0" w:type="dxa"/>
          <w:left w:w="0" w:type="dxa"/>
          <w:bottom w:w="0" w:type="dxa"/>
          <w:right w:w="0" w:type="dxa"/>
        </w:tblCellMar>
      </w:tblPr>
      <w:tblGrid>
        <w:gridCol w:w="1737"/>
        <w:gridCol w:w="2760"/>
        <w:gridCol w:w="1545"/>
        <w:gridCol w:w="2248"/>
      </w:tblGrid>
      <w:tr w14:paraId="30B7B112">
        <w:tblPrEx>
          <w:tblCellMar>
            <w:top w:w="0" w:type="dxa"/>
            <w:left w:w="0" w:type="dxa"/>
            <w:bottom w:w="0" w:type="dxa"/>
            <w:right w:w="0" w:type="dxa"/>
          </w:tblCellMar>
        </w:tblPrEx>
        <w:tc>
          <w:tcPr>
            <w:tcW w:w="1737" w:type="dxa"/>
            <w:tcBorders>
              <w:top w:val="single" w:color="000000" w:sz="6" w:space="0"/>
              <w:left w:val="single" w:color="000000" w:sz="6" w:space="0"/>
              <w:bottom w:val="single" w:color="000000" w:sz="6" w:space="0"/>
              <w:right w:val="single" w:color="000000" w:sz="6" w:space="0"/>
            </w:tcBorders>
          </w:tcPr>
          <w:p w14:paraId="76213B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760" w:type="dxa"/>
            <w:tcBorders>
              <w:top w:val="single" w:color="000000" w:sz="6" w:space="0"/>
              <w:left w:val="single" w:color="000000" w:sz="6" w:space="0"/>
              <w:bottom w:val="single" w:color="000000" w:sz="6" w:space="0"/>
              <w:right w:val="single" w:color="000000" w:sz="6" w:space="0"/>
            </w:tcBorders>
          </w:tcPr>
          <w:p w14:paraId="73E7E8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1545" w:type="dxa"/>
            <w:tcBorders>
              <w:top w:val="single" w:color="000000" w:sz="6" w:space="0"/>
              <w:left w:val="single" w:color="000000" w:sz="6" w:space="0"/>
              <w:bottom w:val="single" w:color="000000" w:sz="6" w:space="0"/>
              <w:right w:val="single" w:color="000000" w:sz="6" w:space="0"/>
            </w:tcBorders>
          </w:tcPr>
          <w:p w14:paraId="22DC62A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48" w:type="dxa"/>
            <w:tcBorders>
              <w:top w:val="single" w:color="000000" w:sz="6" w:space="0"/>
              <w:left w:val="single" w:color="000000" w:sz="6" w:space="0"/>
              <w:bottom w:val="single" w:color="000000" w:sz="6" w:space="0"/>
              <w:right w:val="single" w:color="000000" w:sz="6" w:space="0"/>
            </w:tcBorders>
          </w:tcPr>
          <w:p w14:paraId="7BC0DB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355A1FDF">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1210CEE4">
            <w:pPr>
              <w:rPr>
                <w:rFonts w:hint="eastAsia" w:ascii="宋体" w:hAnsi="宋体" w:eastAsia="宋体" w:cs="宋体"/>
                <w:b w:val="0"/>
                <w:bCs w:val="0"/>
                <w:sz w:val="21"/>
                <w:szCs w:val="21"/>
              </w:rPr>
            </w:pPr>
            <w:r>
              <w:rPr>
                <w:rFonts w:hint="eastAsia" w:ascii="宋体" w:hAnsi="宋体" w:eastAsia="宋体" w:cs="宋体"/>
                <w:b w:val="0"/>
                <w:bCs w:val="0"/>
                <w:sz w:val="21"/>
                <w:szCs w:val="21"/>
              </w:rPr>
              <w:t>氟哌利多（Droperidol）</w:t>
            </w:r>
          </w:p>
        </w:tc>
        <w:tc>
          <w:tcPr>
            <w:tcW w:w="2760" w:type="dxa"/>
            <w:vMerge w:val="restart"/>
            <w:tcBorders>
              <w:top w:val="nil"/>
              <w:left w:val="single" w:color="000000" w:sz="6" w:space="0"/>
              <w:bottom w:val="single" w:color="000000" w:sz="6" w:space="0"/>
              <w:right w:val="single" w:color="000000" w:sz="6" w:space="0"/>
            </w:tcBorders>
          </w:tcPr>
          <w:p w14:paraId="29DDC20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效果比吩噻嗪类强。</w:t>
            </w:r>
          </w:p>
          <w:p w14:paraId="3B68EE5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抑制呕吐。</w:t>
            </w:r>
          </w:p>
          <w:p w14:paraId="438C66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和麻醉止痛剂并用形成神经性安定镇定剂。</w:t>
            </w:r>
          </w:p>
        </w:tc>
        <w:tc>
          <w:tcPr>
            <w:tcW w:w="1545" w:type="dxa"/>
            <w:vMerge w:val="restart"/>
            <w:tcBorders>
              <w:top w:val="nil"/>
              <w:left w:val="single" w:color="000000" w:sz="6" w:space="0"/>
              <w:bottom w:val="single" w:color="000000" w:sz="6" w:space="0"/>
              <w:right w:val="single" w:color="000000" w:sz="6" w:space="0"/>
            </w:tcBorders>
          </w:tcPr>
          <w:p w14:paraId="7C3606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运动异常－肌肉僵硬、震颤等症状。</w:t>
            </w:r>
          </w:p>
        </w:tc>
        <w:tc>
          <w:tcPr>
            <w:tcW w:w="2248" w:type="dxa"/>
            <w:vMerge w:val="restart"/>
            <w:tcBorders>
              <w:top w:val="nil"/>
              <w:left w:val="single" w:color="000000" w:sz="6" w:space="0"/>
              <w:bottom w:val="single" w:color="000000" w:sz="6" w:space="0"/>
              <w:right w:val="single" w:color="000000" w:sz="6" w:space="0"/>
            </w:tcBorders>
          </w:tcPr>
          <w:p w14:paraId="3F99D8E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易发生低血压现象.</w:t>
            </w:r>
          </w:p>
          <w:p w14:paraId="0C22FD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Droperidol及Fluanisone常用于精神性安定镇痛药。</w:t>
            </w:r>
          </w:p>
        </w:tc>
      </w:tr>
      <w:tr w14:paraId="706B2DFE">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5D857A83">
            <w:pPr>
              <w:rPr>
                <w:rFonts w:hint="eastAsia" w:ascii="宋体" w:hAnsi="宋体" w:eastAsia="宋体" w:cs="宋体"/>
                <w:b w:val="0"/>
                <w:bCs w:val="0"/>
                <w:sz w:val="21"/>
                <w:szCs w:val="21"/>
              </w:rPr>
            </w:pPr>
            <w:r>
              <w:rPr>
                <w:rFonts w:hint="eastAsia" w:ascii="宋体" w:hAnsi="宋体" w:eastAsia="宋体" w:cs="宋体"/>
                <w:b w:val="0"/>
                <w:bCs w:val="0"/>
                <w:sz w:val="21"/>
                <w:szCs w:val="21"/>
              </w:rPr>
              <w:t>阿扎哌酮（Azaperone）</w:t>
            </w:r>
          </w:p>
        </w:tc>
        <w:tc>
          <w:tcPr>
            <w:tcW w:w="2760" w:type="dxa"/>
            <w:vMerge w:val="continue"/>
            <w:tcBorders>
              <w:top w:val="nil"/>
              <w:left w:val="single" w:color="000000" w:sz="6" w:space="0"/>
              <w:bottom w:val="single" w:color="000000" w:sz="6" w:space="0"/>
              <w:right w:val="single" w:color="000000" w:sz="6" w:space="0"/>
            </w:tcBorders>
            <w:vAlign w:val="center"/>
          </w:tcPr>
          <w:p w14:paraId="64B9DEE3">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49A88880">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61896EC4">
            <w:pPr>
              <w:ind w:firstLine="420" w:firstLineChars="200"/>
              <w:rPr>
                <w:rFonts w:hint="eastAsia" w:ascii="宋体" w:hAnsi="宋体" w:eastAsia="宋体" w:cs="宋体"/>
                <w:b w:val="0"/>
                <w:bCs w:val="0"/>
                <w:sz w:val="21"/>
                <w:szCs w:val="21"/>
              </w:rPr>
            </w:pPr>
          </w:p>
        </w:tc>
      </w:tr>
      <w:tr w14:paraId="7604ED7F">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5AD04C7A">
            <w:pPr>
              <w:rPr>
                <w:rFonts w:hint="eastAsia" w:ascii="宋体" w:hAnsi="宋体" w:eastAsia="宋体" w:cs="宋体"/>
                <w:b w:val="0"/>
                <w:bCs w:val="0"/>
                <w:sz w:val="21"/>
                <w:szCs w:val="21"/>
              </w:rPr>
            </w:pPr>
            <w:r>
              <w:rPr>
                <w:rFonts w:hint="eastAsia" w:ascii="宋体" w:hAnsi="宋体" w:eastAsia="宋体" w:cs="宋体"/>
                <w:b w:val="0"/>
                <w:bCs w:val="0"/>
                <w:sz w:val="21"/>
                <w:szCs w:val="21"/>
              </w:rPr>
              <w:t>氟阿尼酮（Fluanisone）</w:t>
            </w:r>
          </w:p>
        </w:tc>
        <w:tc>
          <w:tcPr>
            <w:tcW w:w="2760" w:type="dxa"/>
            <w:vMerge w:val="continue"/>
            <w:tcBorders>
              <w:top w:val="nil"/>
              <w:left w:val="single" w:color="000000" w:sz="6" w:space="0"/>
              <w:bottom w:val="single" w:color="000000" w:sz="6" w:space="0"/>
              <w:right w:val="single" w:color="000000" w:sz="6" w:space="0"/>
            </w:tcBorders>
            <w:vAlign w:val="center"/>
          </w:tcPr>
          <w:p w14:paraId="0412D10C">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60EA5BF9">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19D75C84">
            <w:pPr>
              <w:ind w:firstLine="420" w:firstLineChars="200"/>
              <w:rPr>
                <w:rFonts w:hint="eastAsia" w:ascii="宋体" w:hAnsi="宋体" w:eastAsia="宋体" w:cs="宋体"/>
                <w:b w:val="0"/>
                <w:bCs w:val="0"/>
                <w:sz w:val="21"/>
                <w:szCs w:val="21"/>
              </w:rPr>
            </w:pPr>
          </w:p>
        </w:tc>
      </w:tr>
    </w:tbl>
    <w:p w14:paraId="35C71EE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3、苯二氮卓类（Benzodiazepines）</w:t>
      </w:r>
    </w:p>
    <w:tbl>
      <w:tblPr>
        <w:tblStyle w:val="14"/>
        <w:tblW w:w="0" w:type="auto"/>
        <w:tblInd w:w="0" w:type="dxa"/>
        <w:tblLayout w:type="autofit"/>
        <w:tblCellMar>
          <w:top w:w="0" w:type="dxa"/>
          <w:left w:w="0" w:type="dxa"/>
          <w:bottom w:w="0" w:type="dxa"/>
          <w:right w:w="0" w:type="dxa"/>
        </w:tblCellMar>
      </w:tblPr>
      <w:tblGrid>
        <w:gridCol w:w="2148"/>
        <w:gridCol w:w="3906"/>
        <w:gridCol w:w="2236"/>
      </w:tblGrid>
      <w:tr w14:paraId="6FE71342">
        <w:tblPrEx>
          <w:tblCellMar>
            <w:top w:w="0" w:type="dxa"/>
            <w:left w:w="0" w:type="dxa"/>
            <w:bottom w:w="0" w:type="dxa"/>
            <w:right w:w="0" w:type="dxa"/>
          </w:tblCellMar>
        </w:tblPrEx>
        <w:tc>
          <w:tcPr>
            <w:tcW w:w="2148" w:type="dxa"/>
            <w:tcBorders>
              <w:top w:val="single" w:color="000000" w:sz="6" w:space="0"/>
              <w:left w:val="single" w:color="000000" w:sz="6" w:space="0"/>
              <w:bottom w:val="single" w:color="000000" w:sz="6" w:space="0"/>
              <w:right w:val="single" w:color="000000" w:sz="6" w:space="0"/>
            </w:tcBorders>
          </w:tcPr>
          <w:p w14:paraId="7EEDED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3906" w:type="dxa"/>
            <w:tcBorders>
              <w:top w:val="single" w:color="000000" w:sz="6" w:space="0"/>
              <w:left w:val="single" w:color="000000" w:sz="6" w:space="0"/>
              <w:bottom w:val="single" w:color="000000" w:sz="6" w:space="0"/>
              <w:right w:val="single" w:color="000000" w:sz="6" w:space="0"/>
            </w:tcBorders>
          </w:tcPr>
          <w:p w14:paraId="08C0A5A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36" w:type="dxa"/>
            <w:tcBorders>
              <w:top w:val="single" w:color="000000" w:sz="6" w:space="0"/>
              <w:left w:val="single" w:color="000000" w:sz="6" w:space="0"/>
              <w:bottom w:val="single" w:color="000000" w:sz="6" w:space="0"/>
              <w:right w:val="single" w:color="000000" w:sz="6" w:space="0"/>
            </w:tcBorders>
          </w:tcPr>
          <w:p w14:paraId="61A0C65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r>
      <w:tr w14:paraId="24CA8427">
        <w:tblPrEx>
          <w:tblCellMar>
            <w:top w:w="0" w:type="dxa"/>
            <w:left w:w="0" w:type="dxa"/>
            <w:bottom w:w="0" w:type="dxa"/>
            <w:right w:w="0" w:type="dxa"/>
          </w:tblCellMar>
        </w:tblPrEx>
        <w:tc>
          <w:tcPr>
            <w:tcW w:w="2148" w:type="dxa"/>
            <w:tcBorders>
              <w:top w:val="nil"/>
              <w:left w:val="single" w:color="000000" w:sz="6" w:space="0"/>
              <w:bottom w:val="single" w:color="000000" w:sz="6" w:space="0"/>
              <w:right w:val="single" w:color="000000" w:sz="6" w:space="0"/>
            </w:tcBorders>
          </w:tcPr>
          <w:p w14:paraId="0EDAC8A2">
            <w:pPr>
              <w:rPr>
                <w:rFonts w:hint="eastAsia" w:ascii="宋体" w:hAnsi="宋体" w:eastAsia="宋体" w:cs="宋体"/>
                <w:b w:val="0"/>
                <w:bCs w:val="0"/>
                <w:sz w:val="21"/>
                <w:szCs w:val="21"/>
              </w:rPr>
            </w:pPr>
            <w:r>
              <w:rPr>
                <w:rFonts w:hint="eastAsia" w:ascii="宋体" w:hAnsi="宋体" w:eastAsia="宋体" w:cs="宋体"/>
                <w:b w:val="0"/>
                <w:bCs w:val="0"/>
                <w:sz w:val="21"/>
                <w:szCs w:val="21"/>
              </w:rPr>
              <w:t>地西泮（Diazepam）</w:t>
            </w:r>
          </w:p>
          <w:p w14:paraId="7A4FB9D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（最常用）</w:t>
            </w:r>
          </w:p>
        </w:tc>
        <w:tc>
          <w:tcPr>
            <w:tcW w:w="3906" w:type="dxa"/>
            <w:vMerge w:val="restart"/>
            <w:tcBorders>
              <w:top w:val="nil"/>
              <w:left w:val="single" w:color="000000" w:sz="6" w:space="0"/>
              <w:bottom w:val="single" w:color="000000" w:sz="6" w:space="0"/>
              <w:right w:val="single" w:color="000000" w:sz="6" w:space="0"/>
            </w:tcBorders>
          </w:tcPr>
          <w:p w14:paraId="5F99D9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控制及预防癫痫发作。</w:t>
            </w:r>
          </w:p>
          <w:p w14:paraId="2C3CE67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作用于脑边缘系统，尤其是海马角部分。</w:t>
            </w:r>
          </w:p>
          <w:p w14:paraId="376366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可使用于老年、肥胖、患心血管疾病的动物。</w:t>
            </w:r>
          </w:p>
          <w:p w14:paraId="7B6FCB2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 可解除猫因氯胺酮引起之痉挛，但不可混合注射。</w:t>
            </w:r>
          </w:p>
        </w:tc>
        <w:tc>
          <w:tcPr>
            <w:tcW w:w="2236" w:type="dxa"/>
            <w:vMerge w:val="restart"/>
            <w:tcBorders>
              <w:top w:val="nil"/>
              <w:left w:val="single" w:color="000000" w:sz="6" w:space="0"/>
              <w:bottom w:val="single" w:color="000000" w:sz="6" w:space="0"/>
              <w:right w:val="single" w:color="000000" w:sz="6" w:space="0"/>
            </w:tcBorders>
          </w:tcPr>
          <w:p w14:paraId="0AD0FD6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静脉注射太快会引起动物心跳迟缓、血压降低及呼吸停止等现象。</w:t>
            </w:r>
          </w:p>
          <w:p w14:paraId="0E95D2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皮下或肌肉注射效果不佳，且对组织造成刺激。</w:t>
            </w:r>
          </w:p>
        </w:tc>
      </w:tr>
      <w:tr w14:paraId="4682CC39">
        <w:tblPrEx>
          <w:tblCellMar>
            <w:top w:w="0" w:type="dxa"/>
            <w:left w:w="0" w:type="dxa"/>
            <w:bottom w:w="0" w:type="dxa"/>
            <w:right w:w="0" w:type="dxa"/>
          </w:tblCellMar>
        </w:tblPrEx>
        <w:tc>
          <w:tcPr>
            <w:tcW w:w="2148" w:type="dxa"/>
            <w:tcBorders>
              <w:top w:val="nil"/>
              <w:left w:val="single" w:color="000000" w:sz="6" w:space="0"/>
              <w:bottom w:val="single" w:color="000000" w:sz="6" w:space="0"/>
              <w:right w:val="single" w:color="000000" w:sz="6" w:space="0"/>
            </w:tcBorders>
          </w:tcPr>
          <w:p w14:paraId="083C97C6">
            <w:pPr>
              <w:rPr>
                <w:rFonts w:hint="eastAsia" w:ascii="宋体" w:hAnsi="宋体" w:eastAsia="宋体" w:cs="宋体"/>
                <w:b w:val="0"/>
                <w:bCs w:val="0"/>
                <w:sz w:val="21"/>
                <w:szCs w:val="21"/>
              </w:rPr>
            </w:pPr>
            <w:r>
              <w:rPr>
                <w:rFonts w:hint="eastAsia" w:ascii="宋体" w:hAnsi="宋体" w:eastAsia="宋体" w:cs="宋体"/>
                <w:b w:val="0"/>
                <w:bCs w:val="0"/>
                <w:sz w:val="21"/>
                <w:szCs w:val="21"/>
              </w:rPr>
              <w:t>咪达唑仑（Midazolam）</w:t>
            </w:r>
          </w:p>
          <w:p w14:paraId="179744F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c>
          <w:tcPr>
            <w:tcW w:w="3906" w:type="dxa"/>
            <w:vMerge w:val="continue"/>
            <w:tcBorders>
              <w:top w:val="nil"/>
              <w:left w:val="single" w:color="000000" w:sz="6" w:space="0"/>
              <w:bottom w:val="single" w:color="000000" w:sz="6" w:space="0"/>
              <w:right w:val="single" w:color="000000" w:sz="6" w:space="0"/>
            </w:tcBorders>
            <w:vAlign w:val="center"/>
          </w:tcPr>
          <w:p w14:paraId="213DC738">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5A10831D">
            <w:pPr>
              <w:ind w:firstLine="420" w:firstLineChars="200"/>
              <w:rPr>
                <w:rFonts w:hint="eastAsia" w:ascii="宋体" w:hAnsi="宋体" w:eastAsia="宋体" w:cs="宋体"/>
                <w:b w:val="0"/>
                <w:bCs w:val="0"/>
                <w:sz w:val="21"/>
                <w:szCs w:val="21"/>
              </w:rPr>
            </w:pPr>
          </w:p>
        </w:tc>
      </w:tr>
    </w:tbl>
    <w:p w14:paraId="7B25528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4、α-2肾上腺素能受体激动剂（Alpha-2-Aderenergic Agonist Tranquillizers）</w:t>
      </w:r>
    </w:p>
    <w:tbl>
      <w:tblPr>
        <w:tblStyle w:val="14"/>
        <w:tblW w:w="0" w:type="auto"/>
        <w:tblInd w:w="0" w:type="dxa"/>
        <w:tblLayout w:type="autofit"/>
        <w:tblCellMar>
          <w:top w:w="0" w:type="dxa"/>
          <w:left w:w="0" w:type="dxa"/>
          <w:bottom w:w="0" w:type="dxa"/>
          <w:right w:w="0" w:type="dxa"/>
        </w:tblCellMar>
      </w:tblPr>
      <w:tblGrid>
        <w:gridCol w:w="1481"/>
        <w:gridCol w:w="2112"/>
        <w:gridCol w:w="3062"/>
        <w:gridCol w:w="1635"/>
      </w:tblGrid>
      <w:tr w14:paraId="5AB4B265">
        <w:tblPrEx>
          <w:tblCellMar>
            <w:top w:w="0" w:type="dxa"/>
            <w:left w:w="0" w:type="dxa"/>
            <w:bottom w:w="0" w:type="dxa"/>
            <w:right w:w="0" w:type="dxa"/>
          </w:tblCellMar>
        </w:tblPrEx>
        <w:tc>
          <w:tcPr>
            <w:tcW w:w="1481" w:type="dxa"/>
            <w:tcBorders>
              <w:top w:val="single" w:color="000000" w:sz="6" w:space="0"/>
              <w:left w:val="single" w:color="000000" w:sz="6" w:space="0"/>
              <w:bottom w:val="single" w:color="000000" w:sz="6" w:space="0"/>
              <w:right w:val="single" w:color="000000" w:sz="6" w:space="0"/>
            </w:tcBorders>
          </w:tcPr>
          <w:p w14:paraId="5D89E7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112" w:type="dxa"/>
            <w:tcBorders>
              <w:top w:val="single" w:color="000000" w:sz="6" w:space="0"/>
              <w:left w:val="single" w:color="000000" w:sz="6" w:space="0"/>
              <w:bottom w:val="single" w:color="000000" w:sz="6" w:space="0"/>
              <w:right w:val="single" w:color="000000" w:sz="6" w:space="0"/>
            </w:tcBorders>
          </w:tcPr>
          <w:p w14:paraId="0E90BC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3062" w:type="dxa"/>
            <w:tcBorders>
              <w:top w:val="single" w:color="000000" w:sz="6" w:space="0"/>
              <w:left w:val="single" w:color="000000" w:sz="6" w:space="0"/>
              <w:bottom w:val="single" w:color="000000" w:sz="6" w:space="0"/>
              <w:right w:val="single" w:color="000000" w:sz="6" w:space="0"/>
            </w:tcBorders>
          </w:tcPr>
          <w:p w14:paraId="6197F7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635" w:type="dxa"/>
            <w:tcBorders>
              <w:top w:val="single" w:color="000000" w:sz="6" w:space="0"/>
              <w:left w:val="single" w:color="000000" w:sz="6" w:space="0"/>
              <w:bottom w:val="single" w:color="000000" w:sz="6" w:space="0"/>
              <w:right w:val="single" w:color="000000" w:sz="6" w:space="0"/>
            </w:tcBorders>
          </w:tcPr>
          <w:p w14:paraId="1DF1A7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6BD7BF38">
        <w:tblPrEx>
          <w:tblCellMar>
            <w:top w:w="0" w:type="dxa"/>
            <w:left w:w="0" w:type="dxa"/>
            <w:bottom w:w="0" w:type="dxa"/>
            <w:right w:w="0" w:type="dxa"/>
          </w:tblCellMar>
        </w:tblPrEx>
        <w:tc>
          <w:tcPr>
            <w:tcW w:w="1481" w:type="dxa"/>
            <w:tcBorders>
              <w:top w:val="nil"/>
              <w:left w:val="single" w:color="000000" w:sz="6" w:space="0"/>
              <w:bottom w:val="single" w:color="000000" w:sz="6" w:space="0"/>
              <w:right w:val="single" w:color="000000" w:sz="6" w:space="0"/>
            </w:tcBorders>
          </w:tcPr>
          <w:p w14:paraId="612CAA0D">
            <w:pPr>
              <w:rPr>
                <w:rFonts w:hint="eastAsia" w:ascii="宋体" w:hAnsi="宋体" w:eastAsia="宋体" w:cs="宋体"/>
                <w:b w:val="0"/>
                <w:bCs w:val="0"/>
                <w:sz w:val="21"/>
                <w:szCs w:val="21"/>
              </w:rPr>
            </w:pPr>
            <w:r>
              <w:rPr>
                <w:rFonts w:hint="eastAsia" w:ascii="宋体" w:hAnsi="宋体" w:eastAsia="宋体" w:cs="宋体"/>
                <w:b w:val="0"/>
                <w:bCs w:val="0"/>
                <w:sz w:val="21"/>
                <w:szCs w:val="21"/>
              </w:rPr>
              <w:t>甲苯噻嗪（Xylazine）</w:t>
            </w:r>
          </w:p>
          <w:p w14:paraId="09849B01">
            <w:pPr>
              <w:rPr>
                <w:rFonts w:hint="eastAsia" w:ascii="宋体" w:hAnsi="宋体" w:eastAsia="宋体" w:cs="宋体"/>
                <w:b w:val="0"/>
                <w:bCs w:val="0"/>
                <w:sz w:val="21"/>
                <w:szCs w:val="21"/>
              </w:rPr>
            </w:pPr>
            <w:r>
              <w:rPr>
                <w:rFonts w:hint="eastAsia" w:ascii="宋体" w:hAnsi="宋体" w:eastAsia="宋体" w:cs="宋体"/>
                <w:b w:val="0"/>
                <w:bCs w:val="0"/>
                <w:sz w:val="21"/>
                <w:szCs w:val="21"/>
              </w:rPr>
              <w:t>商品名：</w:t>
            </w:r>
          </w:p>
          <w:p w14:paraId="3F3B2684">
            <w:pPr>
              <w:rPr>
                <w:rFonts w:hint="eastAsia" w:ascii="宋体" w:hAnsi="宋体" w:eastAsia="宋体" w:cs="宋体"/>
                <w:b w:val="0"/>
                <w:bCs w:val="0"/>
                <w:sz w:val="21"/>
                <w:szCs w:val="21"/>
              </w:rPr>
            </w:pPr>
            <w:r>
              <w:rPr>
                <w:rFonts w:hint="eastAsia" w:ascii="宋体" w:hAnsi="宋体" w:eastAsia="宋体" w:cs="宋体"/>
                <w:b w:val="0"/>
                <w:bCs w:val="0"/>
                <w:sz w:val="21"/>
                <w:szCs w:val="21"/>
              </w:rPr>
              <w:t>隆朋（Rompun）</w:t>
            </w:r>
          </w:p>
        </w:tc>
        <w:tc>
          <w:tcPr>
            <w:tcW w:w="2112" w:type="dxa"/>
            <w:tcBorders>
              <w:top w:val="nil"/>
              <w:left w:val="single" w:color="000000" w:sz="6" w:space="0"/>
              <w:bottom w:val="single" w:color="000000" w:sz="6" w:space="0"/>
              <w:right w:val="single" w:color="000000" w:sz="6" w:space="0"/>
            </w:tcBorders>
          </w:tcPr>
          <w:p w14:paraId="5B4175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使用于反刍兽、马、猫、灵长类等动物。</w:t>
            </w:r>
          </w:p>
          <w:p w14:paraId="795086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可与氯胺酮、其它镇定剂、局部麻醉剂或N2O合用。</w:t>
            </w:r>
          </w:p>
        </w:tc>
        <w:tc>
          <w:tcPr>
            <w:tcW w:w="3062" w:type="dxa"/>
            <w:tcBorders>
              <w:top w:val="nil"/>
              <w:left w:val="single" w:color="000000" w:sz="6" w:space="0"/>
              <w:bottom w:val="single" w:color="000000" w:sz="6" w:space="0"/>
              <w:right w:val="single" w:color="000000" w:sz="6" w:space="0"/>
            </w:tcBorders>
          </w:tcPr>
          <w:p w14:paraId="213449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刺激呕吐中枢，引起呕吐，可使90%猫发生呕吐。</w:t>
            </w:r>
          </w:p>
          <w:p w14:paraId="6DF512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高剂量使用有严重心血管及呼吸功能抑制作用，尤其是与Barbiturates或Alpha-Xalone/Alphadolone合用时。</w:t>
            </w:r>
          </w:p>
        </w:tc>
        <w:tc>
          <w:tcPr>
            <w:tcW w:w="1635" w:type="dxa"/>
            <w:tcBorders>
              <w:top w:val="nil"/>
              <w:left w:val="single" w:color="000000" w:sz="6" w:space="0"/>
              <w:bottom w:val="single" w:color="000000" w:sz="6" w:space="0"/>
              <w:right w:val="single" w:color="000000" w:sz="6" w:space="0"/>
            </w:tcBorders>
          </w:tcPr>
          <w:p w14:paraId="6DE16D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已有心律不齐的动物勿用。</w:t>
            </w:r>
          </w:p>
          <w:p w14:paraId="7C3EDA5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可引起高血糖症和体温下降。</w:t>
            </w:r>
          </w:p>
          <w:p w14:paraId="124B3F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r>
    </w:tbl>
    <w:p w14:paraId="7227CAE1">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（三）麻醉止痛剂（Narcotic Analgesics）</w:t>
      </w:r>
    </w:p>
    <w:tbl>
      <w:tblPr>
        <w:tblStyle w:val="14"/>
        <w:tblW w:w="0" w:type="auto"/>
        <w:tblInd w:w="0" w:type="dxa"/>
        <w:tblLayout w:type="autofit"/>
        <w:tblCellMar>
          <w:top w:w="0" w:type="dxa"/>
          <w:left w:w="0" w:type="dxa"/>
          <w:bottom w:w="0" w:type="dxa"/>
          <w:right w:w="0" w:type="dxa"/>
        </w:tblCellMar>
      </w:tblPr>
      <w:tblGrid>
        <w:gridCol w:w="2535"/>
        <w:gridCol w:w="1561"/>
        <w:gridCol w:w="2326"/>
        <w:gridCol w:w="1868"/>
      </w:tblGrid>
      <w:tr w14:paraId="5A3F4835">
        <w:tblPrEx>
          <w:tblCellMar>
            <w:top w:w="0" w:type="dxa"/>
            <w:left w:w="0" w:type="dxa"/>
            <w:bottom w:w="0" w:type="dxa"/>
            <w:right w:w="0" w:type="dxa"/>
          </w:tblCellMar>
        </w:tblPrEx>
        <w:tc>
          <w:tcPr>
            <w:tcW w:w="2535" w:type="dxa"/>
            <w:tcBorders>
              <w:top w:val="single" w:color="000000" w:sz="6" w:space="0"/>
              <w:left w:val="single" w:color="000000" w:sz="6" w:space="0"/>
              <w:bottom w:val="single" w:color="000000" w:sz="6" w:space="0"/>
              <w:right w:val="single" w:color="000000" w:sz="6" w:space="0"/>
            </w:tcBorders>
          </w:tcPr>
          <w:p w14:paraId="31B3DF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1561" w:type="dxa"/>
            <w:tcBorders>
              <w:top w:val="single" w:color="000000" w:sz="6" w:space="0"/>
              <w:left w:val="single" w:color="000000" w:sz="6" w:space="0"/>
              <w:bottom w:val="single" w:color="000000" w:sz="6" w:space="0"/>
              <w:right w:val="single" w:color="000000" w:sz="6" w:space="0"/>
            </w:tcBorders>
          </w:tcPr>
          <w:p w14:paraId="5C83597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326" w:type="dxa"/>
            <w:tcBorders>
              <w:top w:val="single" w:color="000000" w:sz="6" w:space="0"/>
              <w:left w:val="single" w:color="000000" w:sz="6" w:space="0"/>
              <w:bottom w:val="single" w:color="000000" w:sz="6" w:space="0"/>
              <w:right w:val="single" w:color="000000" w:sz="6" w:space="0"/>
            </w:tcBorders>
          </w:tcPr>
          <w:p w14:paraId="360CF7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868" w:type="dxa"/>
            <w:tcBorders>
              <w:top w:val="single" w:color="000000" w:sz="6" w:space="0"/>
              <w:left w:val="single" w:color="000000" w:sz="6" w:space="0"/>
              <w:bottom w:val="single" w:color="000000" w:sz="6" w:space="0"/>
              <w:right w:val="single" w:color="000000" w:sz="6" w:space="0"/>
            </w:tcBorders>
          </w:tcPr>
          <w:p w14:paraId="2A74B4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6BF54D76">
        <w:tblPrEx>
          <w:tblCellMar>
            <w:top w:w="0" w:type="dxa"/>
            <w:left w:w="0" w:type="dxa"/>
            <w:bottom w:w="0" w:type="dxa"/>
            <w:right w:w="0" w:type="dxa"/>
          </w:tblCellMar>
        </w:tblPrEx>
        <w:tc>
          <w:tcPr>
            <w:tcW w:w="2535" w:type="dxa"/>
            <w:tcBorders>
              <w:top w:val="nil"/>
              <w:left w:val="single" w:color="000000" w:sz="6" w:space="0"/>
              <w:bottom w:val="single" w:color="000000" w:sz="6" w:space="0"/>
              <w:right w:val="single" w:color="000000" w:sz="6" w:space="0"/>
            </w:tcBorders>
          </w:tcPr>
          <w:p w14:paraId="48C201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吗啡（Morphine）</w:t>
            </w:r>
          </w:p>
          <w:p w14:paraId="55D0D7C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哌替啶（Pethidine）</w:t>
            </w:r>
          </w:p>
          <w:p w14:paraId="47F309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丁丙诺啡（Buprenorphine）</w:t>
            </w:r>
          </w:p>
          <w:p w14:paraId="51AFC33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美沙酮（Methadone）</w:t>
            </w:r>
          </w:p>
          <w:p w14:paraId="5EE100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芬太尼（Fentany）</w:t>
            </w:r>
          </w:p>
          <w:p w14:paraId="78D761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埃托啡（Etorphine）</w:t>
            </w:r>
          </w:p>
        </w:tc>
        <w:tc>
          <w:tcPr>
            <w:tcW w:w="1561" w:type="dxa"/>
            <w:tcBorders>
              <w:top w:val="nil"/>
              <w:left w:val="single" w:color="000000" w:sz="6" w:space="0"/>
              <w:bottom w:val="single" w:color="000000" w:sz="6" w:space="0"/>
              <w:right w:val="single" w:color="000000" w:sz="6" w:space="0"/>
            </w:tcBorders>
          </w:tcPr>
          <w:p w14:paraId="79CBE4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属管制药品，又称阿片类止痛剂。兽医上使用受限。</w:t>
            </w:r>
          </w:p>
          <w:p w14:paraId="1DFD45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精神性安定镇痛作用。</w:t>
            </w:r>
          </w:p>
        </w:tc>
        <w:tc>
          <w:tcPr>
            <w:tcW w:w="2326" w:type="dxa"/>
            <w:tcBorders>
              <w:top w:val="nil"/>
              <w:left w:val="single" w:color="000000" w:sz="6" w:space="0"/>
              <w:bottom w:val="single" w:color="000000" w:sz="6" w:space="0"/>
              <w:right w:val="single" w:color="000000" w:sz="6" w:space="0"/>
            </w:tcBorders>
          </w:tcPr>
          <w:p w14:paraId="185582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高剂量可导致呼吸抑制及呕吐（主要是犬、灵长类）。</w:t>
            </w:r>
          </w:p>
          <w:p w14:paraId="2379B74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体温降低，心率降低，血压降低。</w:t>
            </w:r>
          </w:p>
        </w:tc>
        <w:tc>
          <w:tcPr>
            <w:tcW w:w="1868" w:type="dxa"/>
            <w:tcBorders>
              <w:top w:val="nil"/>
              <w:left w:val="single" w:color="000000" w:sz="6" w:space="0"/>
              <w:bottom w:val="single" w:color="000000" w:sz="6" w:space="0"/>
              <w:right w:val="single" w:color="000000" w:sz="6" w:space="0"/>
            </w:tcBorders>
          </w:tcPr>
          <w:p w14:paraId="3D57CA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低剂量可引起中枢神经抑制现象，较高剂量可使CNS兴奋，很高的剂量继而再抑制CNS，最终导致动物昏迷而死亡。</w:t>
            </w:r>
          </w:p>
        </w:tc>
      </w:tr>
    </w:tbl>
    <w:p w14:paraId="5326EA14">
      <w:pPr>
        <w:rPr>
          <w:rFonts w:hint="eastAsia" w:ascii="宋体" w:hAnsi="宋体" w:eastAsia="宋体" w:cs="宋体"/>
          <w:b w:val="0"/>
          <w:bCs w:val="0"/>
          <w:sz w:val="21"/>
          <w:szCs w:val="21"/>
        </w:rPr>
      </w:pPr>
      <w:r>
        <w:rPr>
          <w:rFonts w:hint="eastAsia" w:ascii="宋体" w:hAnsi="宋体" w:eastAsia="宋体" w:cs="宋体"/>
          <w:b w:val="0"/>
          <w:bCs w:val="0"/>
          <w:sz w:val="21"/>
          <w:szCs w:val="21"/>
        </w:rPr>
        <w:t>（四）局部麻醉</w:t>
      </w:r>
    </w:p>
    <w:tbl>
      <w:tblPr>
        <w:tblStyle w:val="14"/>
        <w:tblW w:w="0" w:type="auto"/>
        <w:tblInd w:w="0" w:type="dxa"/>
        <w:tblLayout w:type="autofit"/>
        <w:tblCellMar>
          <w:top w:w="0" w:type="dxa"/>
          <w:left w:w="0" w:type="dxa"/>
          <w:bottom w:w="0" w:type="dxa"/>
          <w:right w:w="0" w:type="dxa"/>
        </w:tblCellMar>
      </w:tblPr>
      <w:tblGrid>
        <w:gridCol w:w="1381"/>
        <w:gridCol w:w="1878"/>
        <w:gridCol w:w="2816"/>
        <w:gridCol w:w="2239"/>
      </w:tblGrid>
      <w:tr w14:paraId="094B98EE">
        <w:tblPrEx>
          <w:tblCellMar>
            <w:top w:w="0" w:type="dxa"/>
            <w:left w:w="0" w:type="dxa"/>
            <w:bottom w:w="0" w:type="dxa"/>
            <w:right w:w="0" w:type="dxa"/>
          </w:tblCellMar>
        </w:tblPrEx>
        <w:tc>
          <w:tcPr>
            <w:tcW w:w="1193" w:type="dxa"/>
            <w:tcBorders>
              <w:top w:val="single" w:color="000000" w:sz="6" w:space="0"/>
              <w:left w:val="single" w:color="000000" w:sz="6" w:space="0"/>
              <w:bottom w:val="single" w:color="000000" w:sz="6" w:space="0"/>
              <w:right w:val="single" w:color="000000" w:sz="6" w:space="0"/>
            </w:tcBorders>
          </w:tcPr>
          <w:p w14:paraId="3BCAE2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1918" w:type="dxa"/>
            <w:tcBorders>
              <w:top w:val="single" w:color="000000" w:sz="6" w:space="0"/>
              <w:left w:val="single" w:color="000000" w:sz="6" w:space="0"/>
              <w:bottom w:val="single" w:color="000000" w:sz="6" w:space="0"/>
              <w:right w:val="single" w:color="000000" w:sz="6" w:space="0"/>
            </w:tcBorders>
          </w:tcPr>
          <w:p w14:paraId="716FFDE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835" w:type="dxa"/>
            <w:tcBorders>
              <w:top w:val="single" w:color="000000" w:sz="6" w:space="0"/>
              <w:left w:val="single" w:color="000000" w:sz="6" w:space="0"/>
              <w:bottom w:val="single" w:color="000000" w:sz="6" w:space="0"/>
              <w:right w:val="single" w:color="000000" w:sz="6" w:space="0"/>
            </w:tcBorders>
          </w:tcPr>
          <w:p w14:paraId="706B76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344" w:type="dxa"/>
            <w:tcBorders>
              <w:top w:val="single" w:color="000000" w:sz="6" w:space="0"/>
              <w:left w:val="single" w:color="000000" w:sz="6" w:space="0"/>
              <w:bottom w:val="single" w:color="000000" w:sz="6" w:space="0"/>
              <w:right w:val="single" w:color="000000" w:sz="6" w:space="0"/>
            </w:tcBorders>
          </w:tcPr>
          <w:p w14:paraId="65AF187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0956F9A3">
        <w:tblPrEx>
          <w:tblCellMar>
            <w:top w:w="0" w:type="dxa"/>
            <w:left w:w="0" w:type="dxa"/>
            <w:bottom w:w="0" w:type="dxa"/>
            <w:right w:w="0" w:type="dxa"/>
          </w:tblCellMar>
        </w:tblPrEx>
        <w:tc>
          <w:tcPr>
            <w:tcW w:w="1193" w:type="dxa"/>
            <w:tcBorders>
              <w:top w:val="nil"/>
              <w:left w:val="single" w:color="000000" w:sz="6" w:space="0"/>
              <w:bottom w:val="single" w:color="000000" w:sz="6" w:space="0"/>
              <w:right w:val="single" w:color="000000" w:sz="6" w:space="0"/>
            </w:tcBorders>
          </w:tcPr>
          <w:p w14:paraId="34369F4E">
            <w:pPr>
              <w:rPr>
                <w:rFonts w:hint="eastAsia" w:ascii="宋体" w:hAnsi="宋体" w:eastAsia="宋体" w:cs="宋体"/>
                <w:b w:val="0"/>
                <w:bCs w:val="0"/>
                <w:sz w:val="21"/>
                <w:szCs w:val="21"/>
              </w:rPr>
            </w:pPr>
            <w:r>
              <w:rPr>
                <w:rFonts w:hint="eastAsia" w:ascii="宋体" w:hAnsi="宋体" w:eastAsia="宋体" w:cs="宋体"/>
                <w:b w:val="0"/>
                <w:bCs w:val="0"/>
                <w:sz w:val="21"/>
                <w:szCs w:val="21"/>
              </w:rPr>
              <w:t>普鲁卡因（Procaine）</w:t>
            </w:r>
          </w:p>
        </w:tc>
        <w:tc>
          <w:tcPr>
            <w:tcW w:w="1918" w:type="dxa"/>
            <w:tcBorders>
              <w:top w:val="nil"/>
              <w:left w:val="single" w:color="000000" w:sz="6" w:space="0"/>
              <w:bottom w:val="single" w:color="000000" w:sz="6" w:space="0"/>
              <w:right w:val="single" w:color="000000" w:sz="6" w:space="0"/>
            </w:tcBorders>
          </w:tcPr>
          <w:p w14:paraId="2E8A39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阻断感觉及运动神经的传导功能，使身体局部区域的感觉暂时消失、肌肉呈松驰状态，但不影响动物意识。</w:t>
            </w:r>
          </w:p>
          <w:p w14:paraId="07D42AA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短时效，30-60mins。</w:t>
            </w:r>
          </w:p>
        </w:tc>
        <w:tc>
          <w:tcPr>
            <w:tcW w:w="2835" w:type="dxa"/>
            <w:tcBorders>
              <w:top w:val="nil"/>
              <w:left w:val="single" w:color="000000" w:sz="6" w:space="0"/>
              <w:bottom w:val="single" w:color="000000" w:sz="6" w:space="0"/>
              <w:right w:val="single" w:color="000000" w:sz="6" w:space="0"/>
            </w:tcBorders>
          </w:tcPr>
          <w:p w14:paraId="7174D2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使用于小动物如猫、兔、鼠类易过量而造成痉挛、心跳停止现象。</w:t>
            </w:r>
          </w:p>
          <w:p w14:paraId="29C170C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酯型药物在血浆内易被伪乙酰胆碱酵素（Pseudocholinesterase）水解。</w:t>
            </w:r>
          </w:p>
        </w:tc>
        <w:tc>
          <w:tcPr>
            <w:tcW w:w="2344" w:type="dxa"/>
            <w:tcBorders>
              <w:top w:val="nil"/>
              <w:left w:val="single" w:color="000000" w:sz="6" w:space="0"/>
              <w:bottom w:val="single" w:color="000000" w:sz="6" w:space="0"/>
              <w:right w:val="single" w:color="000000" w:sz="6" w:space="0"/>
            </w:tcBorders>
          </w:tcPr>
          <w:p w14:paraId="7D0FAF7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应用于大型动物如牛、马或老年动物。</w:t>
            </w:r>
          </w:p>
          <w:p w14:paraId="5DCC7F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使用磺胺剂治疗的动物禁用。</w:t>
            </w:r>
          </w:p>
        </w:tc>
      </w:tr>
      <w:tr w14:paraId="7122EC01">
        <w:tblPrEx>
          <w:tblCellMar>
            <w:top w:w="0" w:type="dxa"/>
            <w:left w:w="0" w:type="dxa"/>
            <w:bottom w:w="0" w:type="dxa"/>
            <w:right w:w="0" w:type="dxa"/>
          </w:tblCellMar>
        </w:tblPrEx>
        <w:tc>
          <w:tcPr>
            <w:tcW w:w="1193" w:type="dxa"/>
            <w:tcBorders>
              <w:top w:val="nil"/>
              <w:left w:val="single" w:color="000000" w:sz="6" w:space="0"/>
              <w:bottom w:val="single" w:color="000000" w:sz="6" w:space="0"/>
              <w:right w:val="single" w:color="000000" w:sz="6" w:space="0"/>
            </w:tcBorders>
          </w:tcPr>
          <w:p w14:paraId="68B384D4">
            <w:pPr>
              <w:rPr>
                <w:rFonts w:hint="eastAsia" w:ascii="宋体" w:hAnsi="宋体" w:eastAsia="宋体" w:cs="宋体"/>
                <w:b w:val="0"/>
                <w:bCs w:val="0"/>
                <w:sz w:val="21"/>
                <w:szCs w:val="21"/>
              </w:rPr>
            </w:pPr>
            <w:r>
              <w:rPr>
                <w:rFonts w:hint="eastAsia" w:ascii="宋体" w:hAnsi="宋体" w:eastAsia="宋体" w:cs="宋体"/>
                <w:b w:val="0"/>
                <w:bCs w:val="0"/>
                <w:sz w:val="21"/>
                <w:szCs w:val="21"/>
              </w:rPr>
              <w:t>利多卡因（Lidocaine）</w:t>
            </w:r>
          </w:p>
        </w:tc>
        <w:tc>
          <w:tcPr>
            <w:tcW w:w="1918" w:type="dxa"/>
            <w:tcBorders>
              <w:top w:val="nil"/>
              <w:left w:val="single" w:color="000000" w:sz="6" w:space="0"/>
              <w:bottom w:val="single" w:color="000000" w:sz="6" w:space="0"/>
              <w:right w:val="single" w:color="000000" w:sz="6" w:space="0"/>
            </w:tcBorders>
          </w:tcPr>
          <w:p w14:paraId="49FBB6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酰胺型局部麻醉剂。</w:t>
            </w:r>
          </w:p>
          <w:p w14:paraId="5884B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中等时效，90-180mins。</w:t>
            </w:r>
          </w:p>
        </w:tc>
        <w:tc>
          <w:tcPr>
            <w:tcW w:w="2835" w:type="dxa"/>
            <w:tcBorders>
              <w:top w:val="nil"/>
              <w:left w:val="single" w:color="000000" w:sz="6" w:space="0"/>
              <w:bottom w:val="single" w:color="000000" w:sz="6" w:space="0"/>
              <w:right w:val="single" w:color="000000" w:sz="6" w:space="0"/>
            </w:tcBorders>
          </w:tcPr>
          <w:p w14:paraId="7571F2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不适用于外科保定，必须配合低剂量的镇静或麻醉剂使用。</w:t>
            </w:r>
          </w:p>
          <w:p w14:paraId="2F6E712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大量使用会延长伤口愈合时间。</w:t>
            </w:r>
          </w:p>
        </w:tc>
        <w:tc>
          <w:tcPr>
            <w:tcW w:w="2344" w:type="dxa"/>
            <w:tcBorders>
              <w:top w:val="nil"/>
              <w:left w:val="single" w:color="000000" w:sz="6" w:space="0"/>
              <w:bottom w:val="single" w:color="000000" w:sz="6" w:space="0"/>
              <w:right w:val="single" w:color="000000" w:sz="6" w:space="0"/>
            </w:tcBorders>
          </w:tcPr>
          <w:p w14:paraId="3AF8B8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当动物有低血压、循环不良、心跳迟缓现象时，避免使用。</w:t>
            </w:r>
          </w:p>
          <w:p w14:paraId="72BA53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术部有感染或血液供应不良时，不宜使用。</w:t>
            </w:r>
          </w:p>
        </w:tc>
      </w:tr>
    </w:tbl>
    <w:p w14:paraId="7ECBA305">
      <w:pPr>
        <w:rPr>
          <w:rFonts w:hint="eastAsia" w:ascii="宋体" w:hAnsi="宋体" w:eastAsia="宋体" w:cs="宋体"/>
          <w:b w:val="0"/>
          <w:bCs w:val="0"/>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五</w:t>
      </w:r>
      <w:r>
        <w:rPr>
          <w:rFonts w:hint="eastAsia" w:ascii="宋体" w:hAnsi="宋体" w:eastAsia="宋体" w:cs="宋体"/>
          <w:b w:val="0"/>
          <w:bCs w:val="0"/>
          <w:sz w:val="21"/>
          <w:szCs w:val="21"/>
        </w:rPr>
        <w:t>）全身麻醉</w:t>
      </w:r>
    </w:p>
    <w:p w14:paraId="6539E5C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1、吸入性麻醉</w:t>
      </w:r>
    </w:p>
    <w:tbl>
      <w:tblPr>
        <w:tblStyle w:val="14"/>
        <w:tblW w:w="8314" w:type="dxa"/>
        <w:tblInd w:w="0" w:type="dxa"/>
        <w:tblLayout w:type="fixed"/>
        <w:tblCellMar>
          <w:top w:w="0" w:type="dxa"/>
          <w:left w:w="0" w:type="dxa"/>
          <w:bottom w:w="0" w:type="dxa"/>
          <w:right w:w="0" w:type="dxa"/>
        </w:tblCellMar>
      </w:tblPr>
      <w:tblGrid>
        <w:gridCol w:w="1637"/>
        <w:gridCol w:w="2368"/>
        <w:gridCol w:w="2166"/>
        <w:gridCol w:w="2143"/>
      </w:tblGrid>
      <w:tr w14:paraId="1B866C2D">
        <w:tblPrEx>
          <w:tblCellMar>
            <w:top w:w="0" w:type="dxa"/>
            <w:left w:w="0" w:type="dxa"/>
            <w:bottom w:w="0" w:type="dxa"/>
            <w:right w:w="0" w:type="dxa"/>
          </w:tblCellMar>
        </w:tblPrEx>
        <w:tc>
          <w:tcPr>
            <w:tcW w:w="1637" w:type="dxa"/>
            <w:tcBorders>
              <w:top w:val="single" w:color="000000" w:sz="6" w:space="0"/>
              <w:left w:val="single" w:color="000000" w:sz="6" w:space="0"/>
              <w:bottom w:val="single" w:color="000000" w:sz="6" w:space="0"/>
              <w:right w:val="single" w:color="000000" w:sz="6" w:space="0"/>
            </w:tcBorders>
          </w:tcPr>
          <w:p w14:paraId="56546EE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368" w:type="dxa"/>
            <w:tcBorders>
              <w:top w:val="single" w:color="000000" w:sz="6" w:space="0"/>
              <w:left w:val="single" w:color="000000" w:sz="6" w:space="0"/>
              <w:bottom w:val="single" w:color="000000" w:sz="6" w:space="0"/>
              <w:right w:val="single" w:color="000000" w:sz="6" w:space="0"/>
            </w:tcBorders>
          </w:tcPr>
          <w:p w14:paraId="002E7A6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166" w:type="dxa"/>
            <w:tcBorders>
              <w:top w:val="single" w:color="000000" w:sz="6" w:space="0"/>
              <w:left w:val="single" w:color="000000" w:sz="6" w:space="0"/>
              <w:bottom w:val="single" w:color="000000" w:sz="6" w:space="0"/>
              <w:right w:val="single" w:color="000000" w:sz="6" w:space="0"/>
            </w:tcBorders>
          </w:tcPr>
          <w:p w14:paraId="121A21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143" w:type="dxa"/>
            <w:tcBorders>
              <w:top w:val="single" w:color="000000" w:sz="6" w:space="0"/>
              <w:left w:val="single" w:color="000000" w:sz="6" w:space="0"/>
              <w:bottom w:val="single" w:color="000000" w:sz="6" w:space="0"/>
              <w:right w:val="single" w:color="000000" w:sz="6" w:space="0"/>
            </w:tcBorders>
          </w:tcPr>
          <w:p w14:paraId="0F78775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1C20ABF">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0EF0A8CA">
            <w:pPr>
              <w:rPr>
                <w:rFonts w:hint="eastAsia" w:ascii="宋体" w:hAnsi="宋体" w:eastAsia="宋体" w:cs="宋体"/>
                <w:b w:val="0"/>
                <w:bCs w:val="0"/>
                <w:sz w:val="21"/>
                <w:szCs w:val="21"/>
              </w:rPr>
            </w:pPr>
            <w:r>
              <w:rPr>
                <w:rFonts w:hint="eastAsia" w:ascii="宋体" w:hAnsi="宋体" w:eastAsia="宋体" w:cs="宋体"/>
                <w:b w:val="0"/>
                <w:bCs w:val="0"/>
                <w:sz w:val="21"/>
                <w:szCs w:val="21"/>
              </w:rPr>
              <w:t>氟烷（Halothane）</w:t>
            </w:r>
          </w:p>
        </w:tc>
        <w:tc>
          <w:tcPr>
            <w:tcW w:w="2368" w:type="dxa"/>
            <w:tcBorders>
              <w:top w:val="nil"/>
              <w:left w:val="single" w:color="000000" w:sz="6" w:space="0"/>
              <w:bottom w:val="single" w:color="000000" w:sz="6" w:space="0"/>
              <w:right w:val="single" w:color="000000" w:sz="6" w:space="0"/>
            </w:tcBorders>
          </w:tcPr>
          <w:p w14:paraId="4187FA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非常容易蒸发。</w:t>
            </w:r>
          </w:p>
          <w:p w14:paraId="189035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诱导及恢复快（1-３min）</w:t>
            </w:r>
          </w:p>
          <w:p w14:paraId="6F5C01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不易燃烧或爆炸。</w:t>
            </w:r>
          </w:p>
        </w:tc>
        <w:tc>
          <w:tcPr>
            <w:tcW w:w="2166" w:type="dxa"/>
            <w:tcBorders>
              <w:top w:val="nil"/>
              <w:left w:val="single" w:color="000000" w:sz="6" w:space="0"/>
              <w:bottom w:val="single" w:color="000000" w:sz="6" w:space="0"/>
              <w:right w:val="single" w:color="000000" w:sz="6" w:space="0"/>
            </w:tcBorders>
          </w:tcPr>
          <w:p w14:paraId="37B49D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对心血管功能的抑制作用及因周边血管扩张所造成的低血压。</w:t>
            </w:r>
          </w:p>
          <w:p w14:paraId="2708F7C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高剂量下对呼吸抑制。</w:t>
            </w:r>
          </w:p>
          <w:p w14:paraId="1E17681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此药须经肝脏代谢。</w:t>
            </w:r>
          </w:p>
        </w:tc>
        <w:tc>
          <w:tcPr>
            <w:tcW w:w="2143" w:type="dxa"/>
            <w:tcBorders>
              <w:top w:val="nil"/>
              <w:left w:val="single" w:color="000000" w:sz="6" w:space="0"/>
              <w:bottom w:val="single" w:color="000000" w:sz="6" w:space="0"/>
              <w:right w:val="single" w:color="000000" w:sz="6" w:space="0"/>
            </w:tcBorders>
          </w:tcPr>
          <w:p w14:paraId="02FFF99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对大多数动物是理想的吸入性麻醉剂。</w:t>
            </w:r>
          </w:p>
          <w:p w14:paraId="3115FB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必须使用气体麻醉机，避免过量。</w:t>
            </w:r>
          </w:p>
          <w:p w14:paraId="336416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动物长期暴露于Halothane下，易损伤肝功能。</w:t>
            </w:r>
          </w:p>
        </w:tc>
      </w:tr>
      <w:tr w14:paraId="2E927F43">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C230DF7">
            <w:pPr>
              <w:rPr>
                <w:rFonts w:hint="eastAsia" w:ascii="宋体" w:hAnsi="宋体" w:eastAsia="宋体" w:cs="宋体"/>
                <w:b w:val="0"/>
                <w:bCs w:val="0"/>
                <w:sz w:val="21"/>
                <w:szCs w:val="21"/>
              </w:rPr>
            </w:pPr>
            <w:r>
              <w:rPr>
                <w:rFonts w:hint="eastAsia" w:ascii="宋体" w:hAnsi="宋体" w:eastAsia="宋体" w:cs="宋体"/>
                <w:b w:val="0"/>
                <w:bCs w:val="0"/>
                <w:sz w:val="21"/>
                <w:szCs w:val="21"/>
              </w:rPr>
              <w:t>恩氟烷（Enflurane）</w:t>
            </w:r>
          </w:p>
        </w:tc>
        <w:tc>
          <w:tcPr>
            <w:tcW w:w="2368" w:type="dxa"/>
            <w:tcBorders>
              <w:top w:val="nil"/>
              <w:left w:val="single" w:color="000000" w:sz="6" w:space="0"/>
              <w:bottom w:val="single" w:color="000000" w:sz="6" w:space="0"/>
              <w:right w:val="single" w:color="000000" w:sz="6" w:space="0"/>
            </w:tcBorders>
          </w:tcPr>
          <w:p w14:paraId="57DB88A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诱导期及恢复期相当快，麻醉深度浅而易受干扰。</w:t>
            </w:r>
          </w:p>
          <w:p w14:paraId="1C1588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012C9F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有抑制心血管及呼吸功能的作用。</w:t>
            </w:r>
          </w:p>
        </w:tc>
        <w:tc>
          <w:tcPr>
            <w:tcW w:w="2143" w:type="dxa"/>
            <w:tcBorders>
              <w:top w:val="nil"/>
              <w:left w:val="single" w:color="000000" w:sz="6" w:space="0"/>
              <w:bottom w:val="single" w:color="000000" w:sz="6" w:space="0"/>
              <w:right w:val="single" w:color="000000" w:sz="6" w:space="0"/>
            </w:tcBorders>
          </w:tcPr>
          <w:p w14:paraId="27FCF6B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大部分由肺脏排出，而不经肝脏代谢。可根据特殊实验条件的需求使用。</w:t>
            </w:r>
          </w:p>
        </w:tc>
      </w:tr>
      <w:tr w14:paraId="1A043728">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45290112">
            <w:pPr>
              <w:rPr>
                <w:rFonts w:hint="eastAsia" w:ascii="宋体" w:hAnsi="宋体" w:eastAsia="宋体" w:cs="宋体"/>
                <w:b w:val="0"/>
                <w:bCs w:val="0"/>
                <w:sz w:val="21"/>
                <w:szCs w:val="21"/>
              </w:rPr>
            </w:pPr>
            <w:r>
              <w:rPr>
                <w:rFonts w:hint="eastAsia" w:ascii="宋体" w:hAnsi="宋体" w:eastAsia="宋体" w:cs="宋体"/>
                <w:b w:val="0"/>
                <w:bCs w:val="0"/>
                <w:sz w:val="21"/>
                <w:szCs w:val="21"/>
              </w:rPr>
              <w:t>异氟烷（Isoflutane）</w:t>
            </w:r>
          </w:p>
        </w:tc>
        <w:tc>
          <w:tcPr>
            <w:tcW w:w="2368" w:type="dxa"/>
            <w:tcBorders>
              <w:top w:val="nil"/>
              <w:left w:val="single" w:color="000000" w:sz="6" w:space="0"/>
              <w:bottom w:val="single" w:color="000000" w:sz="6" w:space="0"/>
              <w:right w:val="single" w:color="000000" w:sz="6" w:space="0"/>
            </w:tcBorders>
          </w:tcPr>
          <w:p w14:paraId="511AFBE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诱导期恢复相当快，麻醉深度浅而易受干扰。</w:t>
            </w:r>
          </w:p>
          <w:p w14:paraId="133F6FF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03B636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呼吸抑制作用较Halothane严重，心血管功能抑制较小。</w:t>
            </w:r>
          </w:p>
          <w:p w14:paraId="006551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有刺激性气味，易造成暂时呼吸停止。</w:t>
            </w:r>
          </w:p>
        </w:tc>
        <w:tc>
          <w:tcPr>
            <w:tcW w:w="2143" w:type="dxa"/>
            <w:tcBorders>
              <w:top w:val="nil"/>
              <w:left w:val="single" w:color="000000" w:sz="6" w:space="0"/>
              <w:bottom w:val="single" w:color="000000" w:sz="6" w:space="0"/>
              <w:right w:val="single" w:color="000000" w:sz="6" w:space="0"/>
            </w:tcBorders>
          </w:tcPr>
          <w:p w14:paraId="49F93D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生化转换作用较Enflurane小，几乎完全由呼出废气排出。</w:t>
            </w:r>
          </w:p>
          <w:p w14:paraId="79C55AD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对肝粒线体酵素影响很小。</w:t>
            </w:r>
          </w:p>
          <w:p w14:paraId="233A98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适用于药物代谢或毒理试验。</w:t>
            </w:r>
          </w:p>
        </w:tc>
      </w:tr>
      <w:tr w14:paraId="5DBFE808">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EC4AEBB">
            <w:pPr>
              <w:rPr>
                <w:rFonts w:hint="eastAsia" w:ascii="宋体" w:hAnsi="宋体" w:eastAsia="宋体" w:cs="宋体"/>
                <w:b w:val="0"/>
                <w:bCs w:val="0"/>
                <w:sz w:val="21"/>
                <w:szCs w:val="21"/>
              </w:rPr>
            </w:pPr>
            <w:r>
              <w:rPr>
                <w:rFonts w:hint="eastAsia" w:ascii="宋体" w:hAnsi="宋体" w:eastAsia="宋体" w:cs="宋体"/>
                <w:b w:val="0"/>
                <w:bCs w:val="0"/>
                <w:sz w:val="21"/>
                <w:szCs w:val="21"/>
              </w:rPr>
              <w:t>甲氧氟烷（Methoxyflurane）</w:t>
            </w:r>
          </w:p>
        </w:tc>
        <w:tc>
          <w:tcPr>
            <w:tcW w:w="2368" w:type="dxa"/>
            <w:tcBorders>
              <w:top w:val="nil"/>
              <w:left w:val="single" w:color="000000" w:sz="6" w:space="0"/>
              <w:bottom w:val="single" w:color="000000" w:sz="6" w:space="0"/>
              <w:right w:val="single" w:color="000000" w:sz="6" w:space="0"/>
            </w:tcBorders>
          </w:tcPr>
          <w:p w14:paraId="4A7014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止痛效果佳，并具有术后止痛作用。</w:t>
            </w:r>
          </w:p>
          <w:p w14:paraId="48CC60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63AF614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与 halothane比较，具有较轻微之呼吸及心血管功能抑制作用。</w:t>
            </w:r>
          </w:p>
          <w:p w14:paraId="5A34B4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此药物在体内代谢会产生氟化物对肾脏造成伤害。</w:t>
            </w:r>
          </w:p>
        </w:tc>
        <w:tc>
          <w:tcPr>
            <w:tcW w:w="2143" w:type="dxa"/>
            <w:tcBorders>
              <w:top w:val="nil"/>
              <w:left w:val="single" w:color="000000" w:sz="6" w:space="0"/>
              <w:bottom w:val="single" w:color="000000" w:sz="6" w:space="0"/>
              <w:right w:val="single" w:color="000000" w:sz="6" w:space="0"/>
            </w:tcBorders>
          </w:tcPr>
          <w:p w14:paraId="33099A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因诱导期慢，在较大型的动物建议先以短效注射麻醉，再以此药作维持麻醉。</w:t>
            </w:r>
          </w:p>
          <w:p w14:paraId="1280D0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对初生动物麻醉，此药效果极佳。</w:t>
            </w:r>
          </w:p>
          <w:p w14:paraId="72DE85C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对小型动物施以麻醉箱内麻醉，较不易有过量危险。</w:t>
            </w:r>
          </w:p>
        </w:tc>
      </w:tr>
      <w:tr w14:paraId="780BD027">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6355DBD">
            <w:pPr>
              <w:rPr>
                <w:rFonts w:hint="eastAsia" w:ascii="宋体" w:hAnsi="宋体" w:eastAsia="宋体" w:cs="宋体"/>
                <w:b w:val="0"/>
                <w:bCs w:val="0"/>
                <w:sz w:val="21"/>
                <w:szCs w:val="21"/>
              </w:rPr>
            </w:pPr>
            <w:r>
              <w:rPr>
                <w:rFonts w:hint="eastAsia" w:ascii="宋体" w:hAnsi="宋体" w:eastAsia="宋体" w:cs="宋体"/>
                <w:b w:val="0"/>
                <w:bCs w:val="0"/>
                <w:sz w:val="21"/>
                <w:szCs w:val="21"/>
              </w:rPr>
              <w:t>氯仿（Chloroform）</w:t>
            </w:r>
          </w:p>
        </w:tc>
        <w:tc>
          <w:tcPr>
            <w:tcW w:w="2368" w:type="dxa"/>
            <w:tcBorders>
              <w:top w:val="nil"/>
              <w:left w:val="single" w:color="000000" w:sz="6" w:space="0"/>
              <w:bottom w:val="single" w:color="000000" w:sz="6" w:space="0"/>
              <w:right w:val="single" w:color="000000" w:sz="6" w:space="0"/>
            </w:tcBorders>
          </w:tcPr>
          <w:p w14:paraId="6859E58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便宜</w:t>
            </w:r>
          </w:p>
          <w:p w14:paraId="5BC7BCB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189FB3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对心脏、肾脏、肝脏具毒性</w:t>
            </w:r>
          </w:p>
          <w:p w14:paraId="41BC4B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在深度麻醉下易发生心肺功能衰竭</w:t>
            </w:r>
          </w:p>
          <w:p w14:paraId="6FB90A9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易发生手术后肺炎</w:t>
            </w:r>
          </w:p>
          <w:p w14:paraId="28D891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 低剂量下可造成公鼠不孕症。</w:t>
            </w:r>
          </w:p>
        </w:tc>
        <w:tc>
          <w:tcPr>
            <w:tcW w:w="2143" w:type="dxa"/>
            <w:tcBorders>
              <w:top w:val="nil"/>
              <w:left w:val="single" w:color="000000" w:sz="6" w:space="0"/>
              <w:bottom w:val="single" w:color="000000" w:sz="6" w:space="0"/>
              <w:right w:val="single" w:color="000000" w:sz="6" w:space="0"/>
            </w:tcBorders>
          </w:tcPr>
          <w:p w14:paraId="175020E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不符合动物福利，不属于人道安乐死方案，不适用于动物实验终点。</w:t>
            </w:r>
          </w:p>
        </w:tc>
      </w:tr>
      <w:tr w14:paraId="25FE25FD">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783D60E0">
            <w:pPr>
              <w:rPr>
                <w:rFonts w:hint="eastAsia" w:ascii="宋体" w:hAnsi="宋体" w:eastAsia="宋体" w:cs="宋体"/>
                <w:b w:val="0"/>
                <w:bCs w:val="0"/>
                <w:sz w:val="21"/>
                <w:szCs w:val="21"/>
              </w:rPr>
            </w:pPr>
            <w:r>
              <w:rPr>
                <w:rFonts w:hint="eastAsia" w:ascii="宋体" w:hAnsi="宋体" w:eastAsia="宋体" w:cs="宋体"/>
                <w:b w:val="0"/>
                <w:bCs w:val="0"/>
                <w:sz w:val="21"/>
                <w:szCs w:val="21"/>
              </w:rPr>
              <w:t>三氯乙烯（Trichlorethylene）</w:t>
            </w:r>
          </w:p>
        </w:tc>
        <w:tc>
          <w:tcPr>
            <w:tcW w:w="2368" w:type="dxa"/>
            <w:tcBorders>
              <w:top w:val="nil"/>
              <w:left w:val="single" w:color="000000" w:sz="6" w:space="0"/>
              <w:bottom w:val="single" w:color="000000" w:sz="6" w:space="0"/>
              <w:right w:val="single" w:color="000000" w:sz="6" w:space="0"/>
            </w:tcBorders>
          </w:tcPr>
          <w:p w14:paraId="65BA633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便宜，不易燃烧或爆炸。</w:t>
            </w:r>
          </w:p>
          <w:p w14:paraId="3A7C255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 止痛效果佳，对心血管功能的抑制作用小。</w:t>
            </w:r>
          </w:p>
        </w:tc>
        <w:tc>
          <w:tcPr>
            <w:tcW w:w="2166" w:type="dxa"/>
            <w:tcBorders>
              <w:top w:val="nil"/>
              <w:left w:val="single" w:color="000000" w:sz="6" w:space="0"/>
              <w:bottom w:val="single" w:color="000000" w:sz="6" w:space="0"/>
              <w:right w:val="single" w:color="000000" w:sz="6" w:space="0"/>
            </w:tcBorders>
          </w:tcPr>
          <w:p w14:paraId="47B172F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肌肉松驰效果差。在碱性条件下易解离形成毒性及易燃易爆物，所以绝不可以在密闭环境中使用。</w:t>
            </w:r>
          </w:p>
          <w:p w14:paraId="7D9356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易造成呼吸速率增加及潮气量减低，使得血碳酸过高。</w:t>
            </w:r>
          </w:p>
          <w:p w14:paraId="18685D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经肝脏代谢，易造成肝功能受损。</w:t>
            </w:r>
          </w:p>
        </w:tc>
        <w:tc>
          <w:tcPr>
            <w:tcW w:w="2143" w:type="dxa"/>
            <w:tcBorders>
              <w:top w:val="nil"/>
              <w:left w:val="single" w:color="000000" w:sz="6" w:space="0"/>
              <w:bottom w:val="single" w:color="000000" w:sz="6" w:space="0"/>
              <w:right w:val="single" w:color="000000" w:sz="6" w:space="0"/>
            </w:tcBorders>
          </w:tcPr>
          <w:p w14:paraId="76E67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仅适用于轻度麻醉。</w:t>
            </w:r>
          </w:p>
          <w:p w14:paraId="020A84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具肝脏致癌性。</w:t>
            </w:r>
          </w:p>
          <w:p w14:paraId="689B399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高剂量下有抑制呼吸的作用。</w:t>
            </w:r>
          </w:p>
        </w:tc>
      </w:tr>
      <w:tr w14:paraId="5494C2AA">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2041F3F">
            <w:pPr>
              <w:rPr>
                <w:rFonts w:hint="eastAsia" w:ascii="宋体" w:hAnsi="宋体" w:eastAsia="宋体" w:cs="宋体"/>
                <w:b w:val="0"/>
                <w:bCs w:val="0"/>
                <w:sz w:val="21"/>
                <w:szCs w:val="21"/>
              </w:rPr>
            </w:pPr>
            <w:r>
              <w:rPr>
                <w:rFonts w:hint="eastAsia" w:ascii="宋体" w:hAnsi="宋体" w:eastAsia="宋体" w:cs="宋体"/>
                <w:b w:val="0"/>
                <w:bCs w:val="0"/>
                <w:sz w:val="21"/>
                <w:szCs w:val="21"/>
              </w:rPr>
              <w:t>氧化亚氮（Nitrous Xxide）</w:t>
            </w:r>
          </w:p>
        </w:tc>
        <w:tc>
          <w:tcPr>
            <w:tcW w:w="2368" w:type="dxa"/>
            <w:tcBorders>
              <w:top w:val="nil"/>
              <w:left w:val="single" w:color="000000" w:sz="6" w:space="0"/>
              <w:bottom w:val="single" w:color="000000" w:sz="6" w:space="0"/>
              <w:right w:val="single" w:color="000000" w:sz="6" w:space="0"/>
            </w:tcBorders>
          </w:tcPr>
          <w:p w14:paraId="132F808B">
            <w:pPr>
              <w:rPr>
                <w:rFonts w:hint="eastAsia" w:ascii="宋体" w:hAnsi="宋体" w:eastAsia="宋体" w:cs="宋体"/>
                <w:b w:val="0"/>
                <w:bCs w:val="0"/>
                <w:sz w:val="21"/>
                <w:szCs w:val="21"/>
              </w:rPr>
            </w:pPr>
            <w:r>
              <w:rPr>
                <w:rFonts w:hint="eastAsia" w:ascii="宋体" w:hAnsi="宋体" w:eastAsia="宋体" w:cs="宋体"/>
                <w:b w:val="0"/>
                <w:bCs w:val="0"/>
                <w:sz w:val="21"/>
                <w:szCs w:val="21"/>
              </w:rPr>
              <w:t>对心血管功能及呼吸功能的抑制作用小。</w:t>
            </w:r>
          </w:p>
        </w:tc>
        <w:tc>
          <w:tcPr>
            <w:tcW w:w="2166" w:type="dxa"/>
            <w:tcBorders>
              <w:top w:val="nil"/>
              <w:left w:val="single" w:color="000000" w:sz="6" w:space="0"/>
              <w:bottom w:val="single" w:color="000000" w:sz="6" w:space="0"/>
              <w:right w:val="single" w:color="000000" w:sz="6" w:space="0"/>
            </w:tcBorders>
          </w:tcPr>
          <w:p w14:paraId="206301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因对呼吸及心血管功能抑制小，可与其它气体合用，如1:1与氧气混合</w:t>
            </w:r>
          </w:p>
          <w:p w14:paraId="112A59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麻醉术后，最好能让动物吸入100%氧气，避免因Nitrous Oxide迅速由血液进入肺泡造成全面缺氧。</w:t>
            </w:r>
          </w:p>
          <w:p w14:paraId="20AB2C8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止痛效果差，避免单独与神经阻断剂共用。</w:t>
            </w:r>
          </w:p>
        </w:tc>
        <w:tc>
          <w:tcPr>
            <w:tcW w:w="2143" w:type="dxa"/>
            <w:tcBorders>
              <w:top w:val="nil"/>
              <w:left w:val="single" w:color="000000" w:sz="6" w:space="0"/>
              <w:bottom w:val="single" w:color="000000" w:sz="6" w:space="0"/>
              <w:right w:val="single" w:color="000000" w:sz="6" w:space="0"/>
            </w:tcBorders>
          </w:tcPr>
          <w:p w14:paraId="61D8C89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与强效麻醉剂共用可降低其使用量</w:t>
            </w:r>
          </w:p>
        </w:tc>
      </w:tr>
      <w:tr w14:paraId="5763AAA0">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69FCE439">
            <w:pPr>
              <w:rPr>
                <w:rFonts w:hint="eastAsia" w:ascii="宋体" w:hAnsi="宋体" w:eastAsia="宋体" w:cs="宋体"/>
                <w:b w:val="0"/>
                <w:bCs w:val="0"/>
                <w:sz w:val="21"/>
                <w:szCs w:val="21"/>
              </w:rPr>
            </w:pPr>
            <w:r>
              <w:rPr>
                <w:rFonts w:hint="eastAsia" w:ascii="宋体" w:hAnsi="宋体" w:eastAsia="宋体" w:cs="宋体"/>
                <w:b w:val="0"/>
                <w:bCs w:val="0"/>
                <w:sz w:val="21"/>
                <w:szCs w:val="21"/>
              </w:rPr>
              <w:t>乙醚（Diethyl ether）</w:t>
            </w:r>
          </w:p>
        </w:tc>
        <w:tc>
          <w:tcPr>
            <w:tcW w:w="2368" w:type="dxa"/>
            <w:tcBorders>
              <w:top w:val="nil"/>
              <w:left w:val="single" w:color="000000" w:sz="6" w:space="0"/>
              <w:bottom w:val="single" w:color="000000" w:sz="6" w:space="0"/>
              <w:right w:val="single" w:color="000000" w:sz="6" w:space="0"/>
            </w:tcBorders>
          </w:tcPr>
          <w:p w14:paraId="25CC5133">
            <w:pPr>
              <w:rPr>
                <w:rFonts w:hint="eastAsia" w:ascii="宋体" w:hAnsi="宋体" w:eastAsia="宋体" w:cs="宋体"/>
                <w:b w:val="0"/>
                <w:bCs w:val="0"/>
                <w:sz w:val="21"/>
                <w:szCs w:val="21"/>
              </w:rPr>
            </w:pPr>
            <w:r>
              <w:rPr>
                <w:rFonts w:hint="eastAsia" w:ascii="宋体" w:hAnsi="宋体" w:eastAsia="宋体" w:cs="宋体"/>
                <w:b w:val="0"/>
                <w:bCs w:val="0"/>
                <w:sz w:val="21"/>
                <w:szCs w:val="21"/>
              </w:rPr>
              <w:t>在简单的容器极易蒸发</w:t>
            </w:r>
          </w:p>
        </w:tc>
        <w:tc>
          <w:tcPr>
            <w:tcW w:w="2166" w:type="dxa"/>
            <w:tcBorders>
              <w:top w:val="nil"/>
              <w:left w:val="single" w:color="000000" w:sz="6" w:space="0"/>
              <w:bottom w:val="single" w:color="000000" w:sz="6" w:space="0"/>
              <w:right w:val="single" w:color="000000" w:sz="6" w:space="0"/>
            </w:tcBorders>
          </w:tcPr>
          <w:p w14:paraId="2A53D9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具刺激性气味，可导致动物咳嗽、支气管及唾液分泌增加、咽喉痉挛。</w:t>
            </w:r>
          </w:p>
          <w:p w14:paraId="6DDE64D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如原先有慢性呼吸道疾病的动物可转为急性炎症反应，在啮齿类及免尤其明显。</w:t>
            </w:r>
          </w:p>
          <w:p w14:paraId="07CEC90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遇氧易燃、易爆</w:t>
            </w:r>
          </w:p>
        </w:tc>
        <w:tc>
          <w:tcPr>
            <w:tcW w:w="2143" w:type="dxa"/>
            <w:tcBorders>
              <w:top w:val="nil"/>
              <w:left w:val="single" w:color="000000" w:sz="6" w:space="0"/>
              <w:bottom w:val="single" w:color="000000" w:sz="6" w:space="0"/>
              <w:right w:val="single" w:color="000000" w:sz="6" w:space="0"/>
            </w:tcBorders>
          </w:tcPr>
          <w:p w14:paraId="2303957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麻醉诱导期及恢复期较慢。可导致血糖升高，不建议用于豚鼠。</w:t>
            </w:r>
          </w:p>
          <w:p w14:paraId="5B89FA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具有易燃易爆性，以乙醚安乐死的尸体应置于防爆冰箱内，妥善处理。3) 使用传统麻醉箱，考虑可以使用甲氧氟烷代替乙醚。</w:t>
            </w:r>
          </w:p>
        </w:tc>
      </w:tr>
    </w:tbl>
    <w:p w14:paraId="145A66F1">
      <w:pPr>
        <w:rPr>
          <w:rFonts w:hint="eastAsia" w:ascii="宋体" w:hAnsi="宋体" w:eastAsia="宋体" w:cs="宋体"/>
          <w:b w:val="0"/>
          <w:bCs w:val="0"/>
          <w:sz w:val="21"/>
          <w:szCs w:val="21"/>
        </w:rPr>
      </w:pPr>
      <w:r>
        <w:rPr>
          <w:rFonts w:hint="eastAsia" w:ascii="宋体" w:hAnsi="宋体" w:eastAsia="宋体" w:cs="宋体"/>
          <w:b w:val="0"/>
          <w:bCs w:val="0"/>
          <w:sz w:val="21"/>
          <w:szCs w:val="21"/>
        </w:rPr>
        <w:t>2、注射性麻醉</w:t>
      </w:r>
    </w:p>
    <w:p w14:paraId="6B2BF22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（1）巴比妥类（Barbiturates）</w:t>
      </w:r>
    </w:p>
    <w:tbl>
      <w:tblPr>
        <w:tblStyle w:val="14"/>
        <w:tblW w:w="0" w:type="auto"/>
        <w:tblInd w:w="0" w:type="dxa"/>
        <w:tblLayout w:type="fixed"/>
        <w:tblCellMar>
          <w:top w:w="0" w:type="dxa"/>
          <w:left w:w="0" w:type="dxa"/>
          <w:bottom w:w="0" w:type="dxa"/>
          <w:right w:w="0" w:type="dxa"/>
        </w:tblCellMar>
      </w:tblPr>
      <w:tblGrid>
        <w:gridCol w:w="1803"/>
        <w:gridCol w:w="2068"/>
        <w:gridCol w:w="2229"/>
        <w:gridCol w:w="2190"/>
      </w:tblGrid>
      <w:tr w14:paraId="26767953">
        <w:tblPrEx>
          <w:tblCellMar>
            <w:top w:w="0" w:type="dxa"/>
            <w:left w:w="0" w:type="dxa"/>
            <w:bottom w:w="0" w:type="dxa"/>
            <w:right w:w="0" w:type="dxa"/>
          </w:tblCellMar>
        </w:tblPrEx>
        <w:tc>
          <w:tcPr>
            <w:tcW w:w="1803" w:type="dxa"/>
            <w:tcBorders>
              <w:top w:val="single" w:color="000000" w:sz="6" w:space="0"/>
              <w:left w:val="single" w:color="000000" w:sz="6" w:space="0"/>
              <w:bottom w:val="single" w:color="000000" w:sz="6" w:space="0"/>
              <w:right w:val="single" w:color="000000" w:sz="6" w:space="0"/>
            </w:tcBorders>
          </w:tcPr>
          <w:p w14:paraId="503BDF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068" w:type="dxa"/>
            <w:tcBorders>
              <w:top w:val="single" w:color="000000" w:sz="6" w:space="0"/>
              <w:left w:val="single" w:color="000000" w:sz="6" w:space="0"/>
              <w:bottom w:val="single" w:color="000000" w:sz="6" w:space="0"/>
              <w:right w:val="single" w:color="000000" w:sz="6" w:space="0"/>
            </w:tcBorders>
          </w:tcPr>
          <w:p w14:paraId="23F108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29" w:type="dxa"/>
            <w:tcBorders>
              <w:top w:val="single" w:color="000000" w:sz="6" w:space="0"/>
              <w:left w:val="single" w:color="000000" w:sz="6" w:space="0"/>
              <w:bottom w:val="single" w:color="000000" w:sz="6" w:space="0"/>
              <w:right w:val="single" w:color="000000" w:sz="6" w:space="0"/>
            </w:tcBorders>
          </w:tcPr>
          <w:p w14:paraId="70DB081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190" w:type="dxa"/>
            <w:tcBorders>
              <w:top w:val="single" w:color="000000" w:sz="6" w:space="0"/>
              <w:left w:val="single" w:color="000000" w:sz="6" w:space="0"/>
              <w:bottom w:val="single" w:color="000000" w:sz="6" w:space="0"/>
              <w:right w:val="single" w:color="000000" w:sz="6" w:space="0"/>
            </w:tcBorders>
          </w:tcPr>
          <w:p w14:paraId="1DD2438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CECC1FA">
        <w:tblPrEx>
          <w:tblCellMar>
            <w:top w:w="0" w:type="dxa"/>
            <w:left w:w="0" w:type="dxa"/>
            <w:bottom w:w="0" w:type="dxa"/>
            <w:right w:w="0" w:type="dxa"/>
          </w:tblCellMar>
        </w:tblPrEx>
        <w:tc>
          <w:tcPr>
            <w:tcW w:w="1803" w:type="dxa"/>
            <w:tcBorders>
              <w:top w:val="nil"/>
              <w:left w:val="single" w:color="000000" w:sz="6" w:space="0"/>
              <w:bottom w:val="single" w:color="000000" w:sz="6" w:space="0"/>
              <w:right w:val="single" w:color="000000" w:sz="6" w:space="0"/>
            </w:tcBorders>
          </w:tcPr>
          <w:p w14:paraId="2A193DB8">
            <w:pPr>
              <w:rPr>
                <w:rFonts w:hint="eastAsia" w:ascii="宋体" w:hAnsi="宋体" w:eastAsia="宋体" w:cs="宋体"/>
                <w:b w:val="0"/>
                <w:bCs w:val="0"/>
                <w:sz w:val="21"/>
                <w:szCs w:val="21"/>
              </w:rPr>
            </w:pPr>
            <w:r>
              <w:rPr>
                <w:rFonts w:hint="eastAsia" w:ascii="宋体" w:hAnsi="宋体" w:eastAsia="宋体" w:cs="宋体"/>
                <w:b w:val="0"/>
                <w:bCs w:val="0"/>
                <w:sz w:val="21"/>
                <w:szCs w:val="21"/>
              </w:rPr>
              <w:t>戊巴比妥钠（Pentobarbitone）</w:t>
            </w:r>
          </w:p>
          <w:p w14:paraId="25618A25">
            <w:pPr>
              <w:rPr>
                <w:rFonts w:hint="eastAsia" w:ascii="宋体" w:hAnsi="宋体" w:eastAsia="宋体" w:cs="宋体"/>
                <w:b w:val="0"/>
                <w:bCs w:val="0"/>
                <w:sz w:val="21"/>
                <w:szCs w:val="21"/>
              </w:rPr>
            </w:pPr>
            <w:r>
              <w:rPr>
                <w:rFonts w:hint="eastAsia" w:ascii="宋体" w:hAnsi="宋体" w:eastAsia="宋体" w:cs="宋体"/>
                <w:b w:val="0"/>
                <w:bCs w:val="0"/>
                <w:sz w:val="21"/>
                <w:szCs w:val="21"/>
              </w:rPr>
              <w:t>硫喷妥钠（Thiopentone）</w:t>
            </w:r>
          </w:p>
          <w:p w14:paraId="29FD802A">
            <w:pPr>
              <w:rPr>
                <w:rFonts w:hint="eastAsia" w:ascii="宋体" w:hAnsi="宋体" w:eastAsia="宋体" w:cs="宋体"/>
                <w:b w:val="0"/>
                <w:bCs w:val="0"/>
                <w:sz w:val="21"/>
                <w:szCs w:val="21"/>
              </w:rPr>
            </w:pPr>
            <w:r>
              <w:rPr>
                <w:rFonts w:hint="eastAsia" w:ascii="宋体" w:hAnsi="宋体" w:eastAsia="宋体" w:cs="宋体"/>
                <w:b w:val="0"/>
                <w:bCs w:val="0"/>
                <w:sz w:val="21"/>
                <w:szCs w:val="21"/>
              </w:rPr>
              <w:t>美索比妥（Methohexitone）</w:t>
            </w:r>
          </w:p>
        </w:tc>
        <w:tc>
          <w:tcPr>
            <w:tcW w:w="2068" w:type="dxa"/>
            <w:tcBorders>
              <w:top w:val="nil"/>
              <w:left w:val="single" w:color="000000" w:sz="6" w:space="0"/>
              <w:bottom w:val="single" w:color="000000" w:sz="6" w:space="0"/>
              <w:right w:val="single" w:color="000000" w:sz="6" w:space="0"/>
            </w:tcBorders>
          </w:tcPr>
          <w:p w14:paraId="7D2A93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全身麻醉，抗痉挛性治疗，镇静作用。</w:t>
            </w:r>
          </w:p>
          <w:p w14:paraId="655AA0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存在血液中药物重分布现象。</w:t>
            </w:r>
          </w:p>
        </w:tc>
        <w:tc>
          <w:tcPr>
            <w:tcW w:w="2229" w:type="dxa"/>
            <w:tcBorders>
              <w:top w:val="nil"/>
              <w:left w:val="single" w:color="000000" w:sz="6" w:space="0"/>
              <w:bottom w:val="single" w:color="000000" w:sz="6" w:space="0"/>
              <w:right w:val="single" w:color="000000" w:sz="6" w:space="0"/>
            </w:tcBorders>
          </w:tcPr>
          <w:p w14:paraId="60D75CE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严重的呼吸及心血管抑制作用，有呼吸暂停作用，尤其是猫。</w:t>
            </w:r>
          </w:p>
          <w:p w14:paraId="41138C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止痛作用较差。</w:t>
            </w:r>
          </w:p>
          <w:p w14:paraId="25F512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不适用于肝、肾疾病的动物。</w:t>
            </w:r>
          </w:p>
        </w:tc>
        <w:tc>
          <w:tcPr>
            <w:tcW w:w="2190" w:type="dxa"/>
            <w:tcBorders>
              <w:top w:val="nil"/>
              <w:left w:val="single" w:color="000000" w:sz="6" w:space="0"/>
              <w:bottom w:val="single" w:color="000000" w:sz="6" w:space="0"/>
              <w:right w:val="single" w:color="000000" w:sz="6" w:space="0"/>
            </w:tcBorders>
          </w:tcPr>
          <w:p w14:paraId="45CD100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不适用于剖腹产手术，因其抑制子宫内胎儿呼吸，造成高死亡率。</w:t>
            </w:r>
          </w:p>
          <w:p w14:paraId="66EC01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无法提供充分的腹壁肌肉松驰。</w:t>
            </w:r>
          </w:p>
          <w:p w14:paraId="06FCD7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避免注射于血管外组织。</w:t>
            </w:r>
          </w:p>
        </w:tc>
      </w:tr>
    </w:tbl>
    <w:p w14:paraId="318F775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（2）固醇类（Steroid Anesthetics）</w:t>
      </w:r>
    </w:p>
    <w:tbl>
      <w:tblPr>
        <w:tblStyle w:val="14"/>
        <w:tblW w:w="0" w:type="auto"/>
        <w:tblInd w:w="0" w:type="dxa"/>
        <w:tblLayout w:type="autofit"/>
        <w:tblCellMar>
          <w:top w:w="0" w:type="dxa"/>
          <w:left w:w="0" w:type="dxa"/>
          <w:bottom w:w="0" w:type="dxa"/>
          <w:right w:w="0" w:type="dxa"/>
        </w:tblCellMar>
      </w:tblPr>
      <w:tblGrid>
        <w:gridCol w:w="1780"/>
        <w:gridCol w:w="2011"/>
        <w:gridCol w:w="2269"/>
        <w:gridCol w:w="2230"/>
      </w:tblGrid>
      <w:tr w14:paraId="3FC65D89">
        <w:tblPrEx>
          <w:tblCellMar>
            <w:top w:w="0" w:type="dxa"/>
            <w:left w:w="0" w:type="dxa"/>
            <w:bottom w:w="0" w:type="dxa"/>
            <w:right w:w="0" w:type="dxa"/>
          </w:tblCellMar>
        </w:tblPrEx>
        <w:tc>
          <w:tcPr>
            <w:tcW w:w="1780" w:type="dxa"/>
            <w:tcBorders>
              <w:top w:val="single" w:color="000000" w:sz="6" w:space="0"/>
              <w:left w:val="single" w:color="000000" w:sz="6" w:space="0"/>
              <w:bottom w:val="single" w:color="000000" w:sz="6" w:space="0"/>
              <w:right w:val="single" w:color="000000" w:sz="6" w:space="0"/>
            </w:tcBorders>
          </w:tcPr>
          <w:p w14:paraId="688CD3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011" w:type="dxa"/>
            <w:tcBorders>
              <w:top w:val="single" w:color="000000" w:sz="6" w:space="0"/>
              <w:left w:val="single" w:color="000000" w:sz="6" w:space="0"/>
              <w:bottom w:val="single" w:color="000000" w:sz="6" w:space="0"/>
              <w:right w:val="single" w:color="000000" w:sz="6" w:space="0"/>
            </w:tcBorders>
          </w:tcPr>
          <w:p w14:paraId="7D9AEF6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69" w:type="dxa"/>
            <w:tcBorders>
              <w:top w:val="single" w:color="000000" w:sz="6" w:space="0"/>
              <w:left w:val="single" w:color="000000" w:sz="6" w:space="0"/>
              <w:bottom w:val="single" w:color="000000" w:sz="6" w:space="0"/>
              <w:right w:val="single" w:color="000000" w:sz="6" w:space="0"/>
            </w:tcBorders>
          </w:tcPr>
          <w:p w14:paraId="3BDF1F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30" w:type="dxa"/>
            <w:tcBorders>
              <w:top w:val="single" w:color="000000" w:sz="6" w:space="0"/>
              <w:left w:val="single" w:color="000000" w:sz="6" w:space="0"/>
              <w:bottom w:val="single" w:color="000000" w:sz="6" w:space="0"/>
              <w:right w:val="single" w:color="000000" w:sz="6" w:space="0"/>
            </w:tcBorders>
          </w:tcPr>
          <w:p w14:paraId="79D01B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4584BC8E">
        <w:tblPrEx>
          <w:tblCellMar>
            <w:top w:w="0" w:type="dxa"/>
            <w:left w:w="0" w:type="dxa"/>
            <w:bottom w:w="0" w:type="dxa"/>
            <w:right w:w="0" w:type="dxa"/>
          </w:tblCellMar>
        </w:tblPrEx>
        <w:tc>
          <w:tcPr>
            <w:tcW w:w="1780" w:type="dxa"/>
            <w:tcBorders>
              <w:top w:val="nil"/>
              <w:left w:val="single" w:color="000000" w:sz="6" w:space="0"/>
              <w:bottom w:val="single" w:color="000000" w:sz="6" w:space="0"/>
              <w:right w:val="single" w:color="000000" w:sz="6" w:space="0"/>
            </w:tcBorders>
          </w:tcPr>
          <w:p w14:paraId="37FF2C1C">
            <w:pPr>
              <w:rPr>
                <w:rFonts w:hint="eastAsia" w:ascii="宋体" w:hAnsi="宋体" w:eastAsia="宋体" w:cs="宋体"/>
                <w:b w:val="0"/>
                <w:bCs w:val="0"/>
                <w:sz w:val="21"/>
                <w:szCs w:val="21"/>
              </w:rPr>
            </w:pPr>
            <w:r>
              <w:rPr>
                <w:rFonts w:hint="eastAsia" w:ascii="宋体" w:hAnsi="宋体" w:eastAsia="宋体" w:cs="宋体"/>
                <w:b w:val="0"/>
                <w:bCs w:val="0"/>
                <w:sz w:val="21"/>
                <w:szCs w:val="21"/>
              </w:rPr>
              <w:t>安泰酮（Alphaxalone）</w:t>
            </w:r>
          </w:p>
        </w:tc>
        <w:tc>
          <w:tcPr>
            <w:tcW w:w="2011" w:type="dxa"/>
            <w:tcBorders>
              <w:top w:val="nil"/>
              <w:left w:val="single" w:color="000000" w:sz="6" w:space="0"/>
              <w:bottom w:val="single" w:color="000000" w:sz="6" w:space="0"/>
              <w:right w:val="single" w:color="000000" w:sz="6" w:space="0"/>
            </w:tcBorders>
          </w:tcPr>
          <w:p w14:paraId="534BF1C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诱导作用温和，重复剂量注射对恢复期影响不大。</w:t>
            </w:r>
          </w:p>
          <w:p w14:paraId="238673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应用于绵羊、猪、灵长类、猫、啮齿类。</w:t>
            </w:r>
          </w:p>
        </w:tc>
        <w:tc>
          <w:tcPr>
            <w:tcW w:w="2269" w:type="dxa"/>
            <w:tcBorders>
              <w:top w:val="nil"/>
              <w:left w:val="single" w:color="000000" w:sz="6" w:space="0"/>
              <w:bottom w:val="single" w:color="000000" w:sz="6" w:space="0"/>
              <w:right w:val="single" w:color="000000" w:sz="6" w:space="0"/>
            </w:tcBorders>
          </w:tcPr>
          <w:p w14:paraId="77FD34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麻醉药中某些成分会使经注射后的犬释放出大量组胺，造成过敏反应，猫亦有此反应，但较轻微。</w:t>
            </w:r>
          </w:p>
        </w:tc>
        <w:tc>
          <w:tcPr>
            <w:tcW w:w="2230" w:type="dxa"/>
            <w:tcBorders>
              <w:top w:val="nil"/>
              <w:left w:val="single" w:color="000000" w:sz="6" w:space="0"/>
              <w:bottom w:val="single" w:color="000000" w:sz="6" w:space="0"/>
              <w:right w:val="single" w:color="000000" w:sz="6" w:space="0"/>
            </w:tcBorders>
          </w:tcPr>
          <w:p w14:paraId="47DBAF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经腹腔或肌肉注射后效果变异极大。代谢快，适合作长效性维持麻醉。</w:t>
            </w:r>
          </w:p>
          <w:p w14:paraId="51E631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对兔的止痛效果差，高剂量下易造成呼吸抑制。</w:t>
            </w:r>
          </w:p>
          <w:p w14:paraId="070AD4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不可与巴比妥类麻醉剂联用。</w:t>
            </w:r>
          </w:p>
        </w:tc>
      </w:tr>
    </w:tbl>
    <w:p w14:paraId="52B98E7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（3）解离型麻醉剂（Dissociatve Anaesthethetics）</w:t>
      </w:r>
    </w:p>
    <w:tbl>
      <w:tblPr>
        <w:tblStyle w:val="14"/>
        <w:tblW w:w="0" w:type="auto"/>
        <w:tblInd w:w="0" w:type="dxa"/>
        <w:tblLayout w:type="autofit"/>
        <w:tblCellMar>
          <w:top w:w="0" w:type="dxa"/>
          <w:left w:w="0" w:type="dxa"/>
          <w:bottom w:w="0" w:type="dxa"/>
          <w:right w:w="0" w:type="dxa"/>
        </w:tblCellMar>
      </w:tblPr>
      <w:tblGrid>
        <w:gridCol w:w="1548"/>
        <w:gridCol w:w="2171"/>
        <w:gridCol w:w="2306"/>
        <w:gridCol w:w="2265"/>
      </w:tblGrid>
      <w:tr w14:paraId="71B5AA2E">
        <w:tblPrEx>
          <w:tblCellMar>
            <w:top w:w="0" w:type="dxa"/>
            <w:left w:w="0" w:type="dxa"/>
            <w:bottom w:w="0" w:type="dxa"/>
            <w:right w:w="0" w:type="dxa"/>
          </w:tblCellMar>
        </w:tblPrEx>
        <w:tc>
          <w:tcPr>
            <w:tcW w:w="1548" w:type="dxa"/>
            <w:tcBorders>
              <w:top w:val="single" w:color="000000" w:sz="6" w:space="0"/>
              <w:left w:val="single" w:color="000000" w:sz="6" w:space="0"/>
              <w:bottom w:val="single" w:color="000000" w:sz="6" w:space="0"/>
              <w:right w:val="single" w:color="000000" w:sz="6" w:space="0"/>
            </w:tcBorders>
          </w:tcPr>
          <w:p w14:paraId="2E36FA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171" w:type="dxa"/>
            <w:tcBorders>
              <w:top w:val="single" w:color="000000" w:sz="6" w:space="0"/>
              <w:left w:val="single" w:color="000000" w:sz="6" w:space="0"/>
              <w:bottom w:val="single" w:color="000000" w:sz="6" w:space="0"/>
              <w:right w:val="single" w:color="000000" w:sz="6" w:space="0"/>
            </w:tcBorders>
          </w:tcPr>
          <w:p w14:paraId="0E3DA80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306" w:type="dxa"/>
            <w:tcBorders>
              <w:top w:val="single" w:color="000000" w:sz="6" w:space="0"/>
              <w:left w:val="single" w:color="000000" w:sz="6" w:space="0"/>
              <w:bottom w:val="single" w:color="000000" w:sz="6" w:space="0"/>
              <w:right w:val="single" w:color="000000" w:sz="6" w:space="0"/>
            </w:tcBorders>
          </w:tcPr>
          <w:p w14:paraId="6E641B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65" w:type="dxa"/>
            <w:tcBorders>
              <w:top w:val="single" w:color="000000" w:sz="6" w:space="0"/>
              <w:left w:val="single" w:color="000000" w:sz="6" w:space="0"/>
              <w:bottom w:val="single" w:color="000000" w:sz="6" w:space="0"/>
              <w:right w:val="single" w:color="000000" w:sz="6" w:space="0"/>
            </w:tcBorders>
          </w:tcPr>
          <w:p w14:paraId="117C89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D2971D5">
        <w:tblPrEx>
          <w:tblCellMar>
            <w:top w:w="0" w:type="dxa"/>
            <w:left w:w="0" w:type="dxa"/>
            <w:bottom w:w="0" w:type="dxa"/>
            <w:right w:w="0" w:type="dxa"/>
          </w:tblCellMar>
        </w:tblPrEx>
        <w:tc>
          <w:tcPr>
            <w:tcW w:w="1548" w:type="dxa"/>
            <w:tcBorders>
              <w:top w:val="nil"/>
              <w:left w:val="single" w:color="000000" w:sz="6" w:space="0"/>
              <w:bottom w:val="single" w:color="000000" w:sz="6" w:space="0"/>
              <w:right w:val="single" w:color="000000" w:sz="6" w:space="0"/>
            </w:tcBorders>
          </w:tcPr>
          <w:p w14:paraId="614E9D3F">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氯胺酮（Ketamine）</w:t>
            </w:r>
          </w:p>
        </w:tc>
        <w:tc>
          <w:tcPr>
            <w:tcW w:w="2171" w:type="dxa"/>
            <w:tcBorders>
              <w:top w:val="nil"/>
              <w:left w:val="single" w:color="000000" w:sz="6" w:space="0"/>
              <w:bottom w:val="single" w:color="000000" w:sz="6" w:space="0"/>
              <w:right w:val="single" w:color="000000" w:sz="6" w:space="0"/>
            </w:tcBorders>
          </w:tcPr>
          <w:p w14:paraId="1FF361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止痛，四肢僵直反应，对外界物理性刺激失去反应。</w:t>
            </w:r>
          </w:p>
          <w:p w14:paraId="56F0C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与Xylazine或Diazepam合用，可广泛应用于反刍兽、灵长类、猫、兔及仓鼠。</w:t>
            </w:r>
          </w:p>
        </w:tc>
        <w:tc>
          <w:tcPr>
            <w:tcW w:w="2306" w:type="dxa"/>
            <w:tcBorders>
              <w:top w:val="nil"/>
              <w:left w:val="single" w:color="000000" w:sz="6" w:space="0"/>
              <w:bottom w:val="single" w:color="000000" w:sz="6" w:space="0"/>
              <w:right w:val="single" w:color="000000" w:sz="6" w:space="0"/>
            </w:tcBorders>
          </w:tcPr>
          <w:p w14:paraId="6D13B7C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肌肉呈强直状态，不适用于需牵引大块肌肉组织的手术。</w:t>
            </w:r>
          </w:p>
          <w:p w14:paraId="287ED38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肝肾功能不良时，避免使用。</w:t>
            </w:r>
          </w:p>
          <w:p w14:paraId="24864B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会导致呼吸不规律及过度流涎现象发生。</w:t>
            </w:r>
          </w:p>
        </w:tc>
        <w:tc>
          <w:tcPr>
            <w:tcW w:w="2265" w:type="dxa"/>
            <w:tcBorders>
              <w:top w:val="nil"/>
              <w:left w:val="single" w:color="000000" w:sz="6" w:space="0"/>
              <w:bottom w:val="single" w:color="000000" w:sz="6" w:space="0"/>
              <w:right w:val="single" w:color="000000" w:sz="6" w:space="0"/>
            </w:tcBorders>
          </w:tcPr>
          <w:p w14:paraId="4F0926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麻醉作用是麻醉状态中痛觉消失，但意识部分存在。随血中药物浓度的增高，抑制整个中枢神经系统，故又称解离型麻醉剂。</w:t>
            </w:r>
          </w:p>
        </w:tc>
      </w:tr>
    </w:tbl>
    <w:p w14:paraId="5F4680EB">
      <w:pPr>
        <w:rPr>
          <w:rFonts w:hint="eastAsia" w:ascii="宋体" w:hAnsi="宋体" w:eastAsia="宋体" w:cs="宋体"/>
          <w:b w:val="0"/>
          <w:bCs w:val="0"/>
          <w:sz w:val="21"/>
          <w:szCs w:val="21"/>
        </w:rPr>
      </w:pPr>
      <w:r>
        <w:rPr>
          <w:rFonts w:hint="eastAsia" w:ascii="宋体" w:hAnsi="宋体" w:eastAsia="宋体" w:cs="宋体"/>
          <w:b w:val="0"/>
          <w:bCs w:val="0"/>
          <w:sz w:val="21"/>
          <w:szCs w:val="21"/>
        </w:rPr>
        <w:t>三、常用实验动物的麻醉剂使用剂量参考</w:t>
      </w:r>
    </w:p>
    <w:tbl>
      <w:tblPr>
        <w:tblStyle w:val="14"/>
        <w:tblW w:w="8900" w:type="dxa"/>
        <w:tblInd w:w="0" w:type="dxa"/>
        <w:tblLayout w:type="fixed"/>
        <w:tblCellMar>
          <w:top w:w="0" w:type="dxa"/>
          <w:left w:w="0" w:type="dxa"/>
          <w:bottom w:w="0" w:type="dxa"/>
          <w:right w:w="0" w:type="dxa"/>
        </w:tblCellMar>
      </w:tblPr>
      <w:tblGrid>
        <w:gridCol w:w="1692"/>
        <w:gridCol w:w="1867"/>
        <w:gridCol w:w="1856"/>
        <w:gridCol w:w="1800"/>
        <w:gridCol w:w="1685"/>
      </w:tblGrid>
      <w:tr w14:paraId="344A6AF8">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0F951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药物</w:t>
            </w:r>
          </w:p>
        </w:tc>
        <w:tc>
          <w:tcPr>
            <w:tcW w:w="1867" w:type="dxa"/>
            <w:tcBorders>
              <w:top w:val="single" w:color="auto" w:sz="4" w:space="0"/>
              <w:left w:val="single" w:color="auto" w:sz="4" w:space="0"/>
              <w:bottom w:val="single" w:color="auto" w:sz="4" w:space="0"/>
              <w:right w:val="single" w:color="auto" w:sz="4" w:space="0"/>
            </w:tcBorders>
          </w:tcPr>
          <w:p w14:paraId="653A4F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小鼠</w:t>
            </w:r>
          </w:p>
        </w:tc>
        <w:tc>
          <w:tcPr>
            <w:tcW w:w="1856" w:type="dxa"/>
            <w:tcBorders>
              <w:top w:val="single" w:color="auto" w:sz="4" w:space="0"/>
              <w:left w:val="single" w:color="auto" w:sz="4" w:space="0"/>
              <w:bottom w:val="single" w:color="auto" w:sz="4" w:space="0"/>
              <w:right w:val="single" w:color="auto" w:sz="4" w:space="0"/>
            </w:tcBorders>
          </w:tcPr>
          <w:p w14:paraId="08F8AD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大鼠</w:t>
            </w:r>
          </w:p>
        </w:tc>
        <w:tc>
          <w:tcPr>
            <w:tcW w:w="1800" w:type="dxa"/>
            <w:tcBorders>
              <w:top w:val="single" w:color="auto" w:sz="4" w:space="0"/>
              <w:left w:val="single" w:color="auto" w:sz="4" w:space="0"/>
              <w:bottom w:val="single" w:color="auto" w:sz="4" w:space="0"/>
              <w:right w:val="single" w:color="auto" w:sz="4" w:space="0"/>
            </w:tcBorders>
          </w:tcPr>
          <w:p w14:paraId="472B7F8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豚鼠</w:t>
            </w:r>
          </w:p>
        </w:tc>
        <w:tc>
          <w:tcPr>
            <w:tcW w:w="1685" w:type="dxa"/>
            <w:tcBorders>
              <w:top w:val="single" w:color="auto" w:sz="4" w:space="0"/>
              <w:left w:val="single" w:color="auto" w:sz="4" w:space="0"/>
              <w:bottom w:val="single" w:color="auto" w:sz="4" w:space="0"/>
              <w:right w:val="single" w:color="auto" w:sz="4" w:space="0"/>
            </w:tcBorders>
          </w:tcPr>
          <w:p w14:paraId="6AC8CC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w:t>
            </w:r>
          </w:p>
        </w:tc>
      </w:tr>
      <w:tr w14:paraId="6E0004BB">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25F6730E">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氯胺酮Ketamine</w:t>
            </w:r>
          </w:p>
        </w:tc>
        <w:tc>
          <w:tcPr>
            <w:tcW w:w="1867" w:type="dxa"/>
            <w:tcBorders>
              <w:top w:val="single" w:color="auto" w:sz="4" w:space="0"/>
              <w:left w:val="single" w:color="auto" w:sz="4" w:space="0"/>
              <w:bottom w:val="single" w:color="auto" w:sz="4" w:space="0"/>
              <w:right w:val="single" w:color="auto" w:sz="4" w:space="0"/>
            </w:tcBorders>
          </w:tcPr>
          <w:p w14:paraId="7AA8941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3045EC1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057E9E4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6589AE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20-60 mg/kg; IM</w:t>
            </w:r>
          </w:p>
        </w:tc>
      </w:tr>
      <w:tr w14:paraId="5ACD2787">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11C275DE">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 (K) +</w:t>
            </w:r>
          </w:p>
          <w:p w14:paraId="6C3089E8">
            <w:pPr>
              <w:rPr>
                <w:rFonts w:hint="eastAsia" w:ascii="宋体" w:hAnsi="宋体" w:eastAsia="宋体" w:cs="宋体"/>
                <w:b w:val="0"/>
                <w:bCs w:val="0"/>
                <w:sz w:val="21"/>
                <w:szCs w:val="21"/>
              </w:rPr>
            </w:pPr>
            <w:r>
              <w:rPr>
                <w:rFonts w:hint="eastAsia" w:ascii="宋体" w:hAnsi="宋体" w:eastAsia="宋体" w:cs="宋体"/>
                <w:b w:val="0"/>
                <w:bCs w:val="0"/>
                <w:sz w:val="21"/>
                <w:szCs w:val="21"/>
              </w:rPr>
              <w:t>甲苯噻嗪(X) Xylazine</w:t>
            </w:r>
          </w:p>
        </w:tc>
        <w:tc>
          <w:tcPr>
            <w:tcW w:w="1867" w:type="dxa"/>
            <w:tcBorders>
              <w:top w:val="single" w:color="auto" w:sz="4" w:space="0"/>
              <w:left w:val="single" w:color="auto" w:sz="4" w:space="0"/>
              <w:bottom w:val="single" w:color="auto" w:sz="4" w:space="0"/>
              <w:right w:val="single" w:color="auto" w:sz="4" w:space="0"/>
            </w:tcBorders>
          </w:tcPr>
          <w:p w14:paraId="1D2775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90-150mg/kg (K) +</w:t>
            </w:r>
          </w:p>
          <w:p w14:paraId="0DCCEEA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7.5-16mg/kg (X); IP</w:t>
            </w:r>
          </w:p>
        </w:tc>
        <w:tc>
          <w:tcPr>
            <w:tcW w:w="1856" w:type="dxa"/>
            <w:tcBorders>
              <w:top w:val="single" w:color="auto" w:sz="4" w:space="0"/>
              <w:left w:val="single" w:color="auto" w:sz="4" w:space="0"/>
              <w:bottom w:val="single" w:color="auto" w:sz="4" w:space="0"/>
              <w:right w:val="single" w:color="auto" w:sz="4" w:space="0"/>
            </w:tcBorders>
          </w:tcPr>
          <w:p w14:paraId="09EC86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40-75mg/kg (K) +</w:t>
            </w:r>
          </w:p>
          <w:p w14:paraId="51EC584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(X); IP, IM</w:t>
            </w:r>
          </w:p>
        </w:tc>
        <w:tc>
          <w:tcPr>
            <w:tcW w:w="1800" w:type="dxa"/>
            <w:tcBorders>
              <w:top w:val="single" w:color="auto" w:sz="4" w:space="0"/>
              <w:left w:val="single" w:color="auto" w:sz="4" w:space="0"/>
              <w:bottom w:val="single" w:color="auto" w:sz="4" w:space="0"/>
              <w:right w:val="single" w:color="auto" w:sz="4" w:space="0"/>
            </w:tcBorders>
          </w:tcPr>
          <w:p w14:paraId="7302C31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40-75mg/kg (K) +</w:t>
            </w:r>
          </w:p>
          <w:p w14:paraId="4C02AD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(X); IP</w:t>
            </w:r>
          </w:p>
        </w:tc>
        <w:tc>
          <w:tcPr>
            <w:tcW w:w="1685" w:type="dxa"/>
            <w:tcBorders>
              <w:top w:val="single" w:color="auto" w:sz="4" w:space="0"/>
              <w:left w:val="single" w:color="auto" w:sz="4" w:space="0"/>
              <w:bottom w:val="single" w:color="auto" w:sz="4" w:space="0"/>
              <w:right w:val="single" w:color="auto" w:sz="4" w:space="0"/>
            </w:tcBorders>
          </w:tcPr>
          <w:p w14:paraId="1DCED1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22-50mg/kg (K) +</w:t>
            </w:r>
          </w:p>
          <w:p w14:paraId="224F64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2.5-10 mg/kg (X); IM</w:t>
            </w:r>
          </w:p>
        </w:tc>
      </w:tr>
      <w:tr w14:paraId="4435C71B">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0B725624">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 (K) +</w:t>
            </w:r>
          </w:p>
          <w:p w14:paraId="3C5F4C5D">
            <w:pPr>
              <w:rPr>
                <w:rFonts w:hint="eastAsia" w:ascii="宋体" w:hAnsi="宋体" w:eastAsia="宋体" w:cs="宋体"/>
                <w:b w:val="0"/>
                <w:bCs w:val="0"/>
                <w:sz w:val="21"/>
                <w:szCs w:val="21"/>
              </w:rPr>
            </w:pPr>
            <w:r>
              <w:rPr>
                <w:rFonts w:hint="eastAsia" w:ascii="宋体" w:hAnsi="宋体" w:eastAsia="宋体" w:cs="宋体"/>
                <w:b w:val="0"/>
                <w:bCs w:val="0"/>
                <w:sz w:val="21"/>
                <w:szCs w:val="21"/>
              </w:rPr>
              <w:t>地西泮(D) Diazepam</w:t>
            </w:r>
          </w:p>
        </w:tc>
        <w:tc>
          <w:tcPr>
            <w:tcW w:w="1867" w:type="dxa"/>
            <w:tcBorders>
              <w:top w:val="single" w:color="auto" w:sz="4" w:space="0"/>
              <w:left w:val="single" w:color="auto" w:sz="4" w:space="0"/>
              <w:bottom w:val="single" w:color="auto" w:sz="4" w:space="0"/>
              <w:right w:val="single" w:color="auto" w:sz="4" w:space="0"/>
            </w:tcBorders>
          </w:tcPr>
          <w:p w14:paraId="2F0168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6420173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3E2840C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294AB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60-80mg/kg (K) +</w:t>
            </w:r>
          </w:p>
          <w:p w14:paraId="315FD33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(D); IM</w:t>
            </w:r>
          </w:p>
        </w:tc>
      </w:tr>
      <w:tr w14:paraId="69DB80AD">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5E243B83">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 +甲苯噻嗪(X) +乙酰丙嗪(A) Acepromazine</w:t>
            </w:r>
          </w:p>
        </w:tc>
        <w:tc>
          <w:tcPr>
            <w:tcW w:w="1867" w:type="dxa"/>
            <w:tcBorders>
              <w:top w:val="single" w:color="auto" w:sz="4" w:space="0"/>
              <w:left w:val="single" w:color="auto" w:sz="4" w:space="0"/>
              <w:bottom w:val="single" w:color="auto" w:sz="4" w:space="0"/>
              <w:right w:val="single" w:color="auto" w:sz="4" w:space="0"/>
            </w:tcBorders>
          </w:tcPr>
          <w:p w14:paraId="2F0BEF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60-100mg/kg (K) +</w:t>
            </w:r>
          </w:p>
          <w:p w14:paraId="77E547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7-20mg/kg (X) +</w:t>
            </w:r>
          </w:p>
          <w:p w14:paraId="31EF4C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0.6-3 mg/kg (A); IP</w:t>
            </w:r>
          </w:p>
        </w:tc>
        <w:tc>
          <w:tcPr>
            <w:tcW w:w="1856" w:type="dxa"/>
            <w:tcBorders>
              <w:top w:val="single" w:color="auto" w:sz="4" w:space="0"/>
              <w:left w:val="single" w:color="auto" w:sz="4" w:space="0"/>
              <w:bottom w:val="single" w:color="auto" w:sz="4" w:space="0"/>
              <w:right w:val="single" w:color="auto" w:sz="4" w:space="0"/>
            </w:tcBorders>
          </w:tcPr>
          <w:p w14:paraId="444CCCC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30-40mg/kg (K) +</w:t>
            </w:r>
          </w:p>
          <w:p w14:paraId="5159AB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5-6mg/kg (X) +</w:t>
            </w:r>
          </w:p>
          <w:p w14:paraId="7827E8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1-2mg/kg (A); IP, IM</w:t>
            </w:r>
          </w:p>
        </w:tc>
        <w:tc>
          <w:tcPr>
            <w:tcW w:w="1800" w:type="dxa"/>
            <w:tcBorders>
              <w:top w:val="single" w:color="auto" w:sz="4" w:space="0"/>
              <w:left w:val="single" w:color="auto" w:sz="4" w:space="0"/>
              <w:bottom w:val="single" w:color="auto" w:sz="4" w:space="0"/>
              <w:right w:val="single" w:color="auto" w:sz="4" w:space="0"/>
            </w:tcBorders>
          </w:tcPr>
          <w:p w14:paraId="2E18A7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61 mg/kg (K) +</w:t>
            </w:r>
          </w:p>
          <w:p w14:paraId="02CE6D0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 mg/kg (X) +</w:t>
            </w:r>
          </w:p>
          <w:p w14:paraId="443979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 mg/kg (A); IP</w:t>
            </w:r>
          </w:p>
        </w:tc>
        <w:tc>
          <w:tcPr>
            <w:tcW w:w="1685" w:type="dxa"/>
            <w:tcBorders>
              <w:top w:val="single" w:color="auto" w:sz="4" w:space="0"/>
              <w:left w:val="single" w:color="auto" w:sz="4" w:space="0"/>
              <w:bottom w:val="single" w:color="auto" w:sz="4" w:space="0"/>
              <w:right w:val="single" w:color="auto" w:sz="4" w:space="0"/>
            </w:tcBorders>
          </w:tcPr>
          <w:p w14:paraId="6BEFCEC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1CDF2492">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24E46077">
            <w:pPr>
              <w:rPr>
                <w:rFonts w:hint="eastAsia" w:ascii="宋体" w:hAnsi="宋体" w:eastAsia="宋体" w:cs="宋体"/>
                <w:b w:val="0"/>
                <w:bCs w:val="0"/>
                <w:sz w:val="21"/>
                <w:szCs w:val="21"/>
              </w:rPr>
            </w:pPr>
            <w:r>
              <w:rPr>
                <w:rFonts w:hint="eastAsia" w:ascii="宋体" w:hAnsi="宋体" w:eastAsia="宋体" w:cs="宋体"/>
                <w:b w:val="0"/>
                <w:bCs w:val="0"/>
                <w:sz w:val="21"/>
                <w:szCs w:val="21"/>
              </w:rPr>
              <w:t>戊巴比妥钠  Pentobarbital Sodium</w:t>
            </w:r>
          </w:p>
        </w:tc>
        <w:tc>
          <w:tcPr>
            <w:tcW w:w="1867" w:type="dxa"/>
            <w:tcBorders>
              <w:top w:val="single" w:color="auto" w:sz="4" w:space="0"/>
              <w:left w:val="single" w:color="auto" w:sz="4" w:space="0"/>
              <w:bottom w:val="single" w:color="auto" w:sz="4" w:space="0"/>
              <w:right w:val="single" w:color="auto" w:sz="4" w:space="0"/>
            </w:tcBorders>
          </w:tcPr>
          <w:p w14:paraId="685573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30-90mg/kg; IP</w:t>
            </w:r>
          </w:p>
          <w:p w14:paraId="312E47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乳鼠: 5mg/kg</w:t>
            </w:r>
          </w:p>
        </w:tc>
        <w:tc>
          <w:tcPr>
            <w:tcW w:w="1856" w:type="dxa"/>
            <w:tcBorders>
              <w:top w:val="single" w:color="auto" w:sz="4" w:space="0"/>
              <w:left w:val="single" w:color="auto" w:sz="4" w:space="0"/>
              <w:bottom w:val="single" w:color="auto" w:sz="4" w:space="0"/>
              <w:right w:val="single" w:color="auto" w:sz="4" w:space="0"/>
            </w:tcBorders>
          </w:tcPr>
          <w:p w14:paraId="5777E2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15-40mg/kg; IP, IV</w:t>
            </w:r>
          </w:p>
        </w:tc>
        <w:tc>
          <w:tcPr>
            <w:tcW w:w="1800" w:type="dxa"/>
            <w:tcBorders>
              <w:top w:val="single" w:color="auto" w:sz="4" w:space="0"/>
              <w:left w:val="single" w:color="auto" w:sz="4" w:space="0"/>
              <w:bottom w:val="single" w:color="auto" w:sz="4" w:space="0"/>
              <w:right w:val="single" w:color="auto" w:sz="4" w:space="0"/>
            </w:tcBorders>
          </w:tcPr>
          <w:p w14:paraId="2D443B5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30-60mg/kg; IP</w:t>
            </w:r>
          </w:p>
        </w:tc>
        <w:tc>
          <w:tcPr>
            <w:tcW w:w="1685" w:type="dxa"/>
            <w:tcBorders>
              <w:top w:val="single" w:color="auto" w:sz="4" w:space="0"/>
              <w:left w:val="single" w:color="auto" w:sz="4" w:space="0"/>
              <w:bottom w:val="single" w:color="auto" w:sz="4" w:space="0"/>
              <w:right w:val="single" w:color="auto" w:sz="4" w:space="0"/>
            </w:tcBorders>
          </w:tcPr>
          <w:p w14:paraId="2DA48DC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20-60mg/kg; IV</w:t>
            </w:r>
          </w:p>
        </w:tc>
      </w:tr>
      <w:tr w14:paraId="6C34FB9C">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78AA764">
            <w:pPr>
              <w:rPr>
                <w:rFonts w:hint="eastAsia" w:ascii="宋体" w:hAnsi="宋体" w:eastAsia="宋体" w:cs="宋体"/>
                <w:b w:val="0"/>
                <w:bCs w:val="0"/>
                <w:sz w:val="21"/>
                <w:szCs w:val="21"/>
              </w:rPr>
            </w:pPr>
            <w:r>
              <w:rPr>
                <w:rFonts w:hint="eastAsia" w:ascii="宋体" w:hAnsi="宋体" w:eastAsia="宋体" w:cs="宋体"/>
                <w:b w:val="0"/>
                <w:bCs w:val="0"/>
                <w:sz w:val="21"/>
                <w:szCs w:val="21"/>
              </w:rPr>
              <w:t>戊硫代巴比妥Thiopental</w:t>
            </w:r>
          </w:p>
        </w:tc>
        <w:tc>
          <w:tcPr>
            <w:tcW w:w="1867" w:type="dxa"/>
            <w:tcBorders>
              <w:top w:val="single" w:color="auto" w:sz="4" w:space="0"/>
              <w:left w:val="single" w:color="auto" w:sz="4" w:space="0"/>
              <w:bottom w:val="single" w:color="auto" w:sz="4" w:space="0"/>
              <w:right w:val="single" w:color="auto" w:sz="4" w:space="0"/>
            </w:tcBorders>
          </w:tcPr>
          <w:p w14:paraId="5D44839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28781C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22DCF32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20-40mg/kg; IV</w:t>
            </w:r>
          </w:p>
        </w:tc>
        <w:tc>
          <w:tcPr>
            <w:tcW w:w="1685" w:type="dxa"/>
            <w:tcBorders>
              <w:top w:val="single" w:color="auto" w:sz="4" w:space="0"/>
              <w:left w:val="single" w:color="auto" w:sz="4" w:space="0"/>
              <w:bottom w:val="single" w:color="auto" w:sz="4" w:space="0"/>
              <w:right w:val="single" w:color="auto" w:sz="4" w:space="0"/>
            </w:tcBorders>
          </w:tcPr>
          <w:p w14:paraId="11685F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068FC548">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47A57AD2">
            <w:pPr>
              <w:rPr>
                <w:rFonts w:hint="eastAsia" w:ascii="宋体" w:hAnsi="宋体" w:eastAsia="宋体" w:cs="宋体"/>
                <w:b w:val="0"/>
                <w:bCs w:val="0"/>
                <w:sz w:val="21"/>
                <w:szCs w:val="21"/>
              </w:rPr>
            </w:pPr>
            <w:r>
              <w:rPr>
                <w:rFonts w:hint="eastAsia" w:ascii="宋体" w:hAnsi="宋体" w:eastAsia="宋体" w:cs="宋体"/>
                <w:b w:val="0"/>
                <w:bCs w:val="0"/>
                <w:sz w:val="21"/>
                <w:szCs w:val="21"/>
              </w:rPr>
              <w:t>异丙酚Propofol</w:t>
            </w:r>
          </w:p>
        </w:tc>
        <w:tc>
          <w:tcPr>
            <w:tcW w:w="1867" w:type="dxa"/>
            <w:tcBorders>
              <w:top w:val="single" w:color="auto" w:sz="4" w:space="0"/>
              <w:left w:val="single" w:color="auto" w:sz="4" w:space="0"/>
              <w:bottom w:val="single" w:color="auto" w:sz="4" w:space="0"/>
              <w:right w:val="single" w:color="auto" w:sz="4" w:space="0"/>
            </w:tcBorders>
          </w:tcPr>
          <w:p w14:paraId="32659A8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7EE668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6838D5C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7.5-10 mg/kg; IV</w:t>
            </w:r>
          </w:p>
        </w:tc>
        <w:tc>
          <w:tcPr>
            <w:tcW w:w="1685" w:type="dxa"/>
            <w:tcBorders>
              <w:top w:val="single" w:color="auto" w:sz="4" w:space="0"/>
              <w:left w:val="single" w:color="auto" w:sz="4" w:space="0"/>
              <w:bottom w:val="single" w:color="auto" w:sz="4" w:space="0"/>
              <w:right w:val="single" w:color="auto" w:sz="4" w:space="0"/>
            </w:tcBorders>
          </w:tcPr>
          <w:p w14:paraId="676E1E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679E2C4E">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72C1BE7">
            <w:pPr>
              <w:rPr>
                <w:rFonts w:hint="eastAsia" w:ascii="宋体" w:hAnsi="宋体" w:eastAsia="宋体" w:cs="宋体"/>
                <w:b w:val="0"/>
                <w:bCs w:val="0"/>
                <w:sz w:val="21"/>
                <w:szCs w:val="21"/>
              </w:rPr>
            </w:pPr>
            <w:r>
              <w:rPr>
                <w:rFonts w:hint="eastAsia" w:ascii="宋体" w:hAnsi="宋体" w:eastAsia="宋体" w:cs="宋体"/>
                <w:b w:val="0"/>
                <w:bCs w:val="0"/>
                <w:sz w:val="21"/>
                <w:szCs w:val="21"/>
              </w:rPr>
              <w:t>乌拉坦Urethane</w:t>
            </w:r>
          </w:p>
        </w:tc>
        <w:tc>
          <w:tcPr>
            <w:tcW w:w="1867" w:type="dxa"/>
            <w:tcBorders>
              <w:top w:val="single" w:color="auto" w:sz="4" w:space="0"/>
              <w:left w:val="single" w:color="auto" w:sz="4" w:space="0"/>
              <w:bottom w:val="single" w:color="auto" w:sz="4" w:space="0"/>
              <w:right w:val="single" w:color="auto" w:sz="4" w:space="0"/>
            </w:tcBorders>
          </w:tcPr>
          <w:p w14:paraId="3237345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0ADF31F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1500mg/kg; IP, IV</w:t>
            </w:r>
          </w:p>
        </w:tc>
        <w:tc>
          <w:tcPr>
            <w:tcW w:w="1800" w:type="dxa"/>
            <w:tcBorders>
              <w:top w:val="single" w:color="auto" w:sz="4" w:space="0"/>
              <w:left w:val="single" w:color="auto" w:sz="4" w:space="0"/>
              <w:bottom w:val="single" w:color="auto" w:sz="4" w:space="0"/>
              <w:right w:val="single" w:color="auto" w:sz="4" w:space="0"/>
            </w:tcBorders>
          </w:tcPr>
          <w:p w14:paraId="2F8C941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1000-1500mg/kg; IP, SQ</w:t>
            </w:r>
          </w:p>
        </w:tc>
        <w:tc>
          <w:tcPr>
            <w:tcW w:w="1685" w:type="dxa"/>
            <w:tcBorders>
              <w:top w:val="single" w:color="auto" w:sz="4" w:space="0"/>
              <w:left w:val="single" w:color="auto" w:sz="4" w:space="0"/>
              <w:bottom w:val="single" w:color="auto" w:sz="4" w:space="0"/>
              <w:right w:val="single" w:color="auto" w:sz="4" w:space="0"/>
            </w:tcBorders>
          </w:tcPr>
          <w:p w14:paraId="3F1A1B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7351EEE5">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A16A39F">
            <w:pPr>
              <w:rPr>
                <w:rFonts w:hint="eastAsia" w:ascii="宋体" w:hAnsi="宋体" w:eastAsia="宋体" w:cs="宋体"/>
                <w:b w:val="0"/>
                <w:bCs w:val="0"/>
                <w:sz w:val="21"/>
                <w:szCs w:val="21"/>
              </w:rPr>
            </w:pPr>
            <w:r>
              <w:rPr>
                <w:rFonts w:hint="eastAsia" w:ascii="宋体" w:hAnsi="宋体" w:eastAsia="宋体" w:cs="宋体"/>
                <w:b w:val="0"/>
                <w:bCs w:val="0"/>
                <w:sz w:val="21"/>
                <w:szCs w:val="21"/>
              </w:rPr>
              <w:t>三溴乙醇（阿佛丁）Tribromoethanol</w:t>
            </w:r>
          </w:p>
        </w:tc>
        <w:tc>
          <w:tcPr>
            <w:tcW w:w="1867" w:type="dxa"/>
            <w:tcBorders>
              <w:top w:val="single" w:color="auto" w:sz="4" w:space="0"/>
              <w:left w:val="single" w:color="auto" w:sz="4" w:space="0"/>
              <w:bottom w:val="single" w:color="auto" w:sz="4" w:space="0"/>
              <w:right w:val="single" w:color="auto" w:sz="4" w:space="0"/>
            </w:tcBorders>
          </w:tcPr>
          <w:p w14:paraId="118FEB3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125-250mg/kg; IP</w:t>
            </w:r>
          </w:p>
        </w:tc>
        <w:tc>
          <w:tcPr>
            <w:tcW w:w="1856" w:type="dxa"/>
            <w:tcBorders>
              <w:top w:val="single" w:color="auto" w:sz="4" w:space="0"/>
              <w:left w:val="single" w:color="auto" w:sz="4" w:space="0"/>
              <w:bottom w:val="single" w:color="auto" w:sz="4" w:space="0"/>
              <w:right w:val="single" w:color="auto" w:sz="4" w:space="0"/>
            </w:tcBorders>
          </w:tcPr>
          <w:p w14:paraId="593EAE3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54AF222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5DBE94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bl>
    <w:p w14:paraId="7EE9023F">
      <w:pPr>
        <w:ind w:firstLine="420" w:firstLineChars="200"/>
        <w:rPr>
          <w:rFonts w:hint="eastAsia" w:ascii="宋体" w:hAnsi="宋体" w:eastAsia="宋体" w:cs="宋体"/>
          <w:b w:val="0"/>
          <w:bCs w:val="0"/>
          <w:color w:val="FF0000"/>
          <w:sz w:val="21"/>
          <w:szCs w:val="21"/>
        </w:rPr>
      </w:pPr>
      <w:r>
        <w:rPr>
          <w:rFonts w:hint="eastAsia" w:ascii="宋体" w:hAnsi="宋体" w:eastAsia="宋体" w:cs="宋体"/>
          <w:b w:val="0"/>
          <w:bCs w:val="0"/>
          <w:sz w:val="21"/>
          <w:szCs w:val="21"/>
        </w:rPr>
        <w:t>注：IM：肌肉注射；IP：腹腔内注射；IV：静脉注射；SQ：皮下注射；</w:t>
      </w:r>
      <w:r>
        <w:rPr>
          <w:rFonts w:hint="eastAsia" w:ascii="宋体" w:hAnsi="宋体" w:eastAsia="宋体" w:cs="宋体"/>
          <w:b w:val="0"/>
          <w:bCs w:val="0"/>
          <w:color w:val="FF0000"/>
          <w:sz w:val="21"/>
          <w:szCs w:val="21"/>
        </w:rPr>
        <w:t>PO</w:t>
      </w:r>
    </w:p>
    <w:p w14:paraId="788619CB">
      <w:pPr>
        <w:rPr>
          <w:rFonts w:hint="eastAsia" w:ascii="宋体" w:hAnsi="宋体" w:eastAsia="宋体" w:cs="宋体"/>
          <w:b w:val="0"/>
          <w:bCs w:val="0"/>
          <w:sz w:val="21"/>
          <w:szCs w:val="21"/>
        </w:rPr>
      </w:pPr>
      <w:r>
        <w:rPr>
          <w:rFonts w:hint="eastAsia" w:ascii="宋体" w:hAnsi="宋体" w:eastAsia="宋体" w:cs="宋体"/>
          <w:b w:val="0"/>
          <w:bCs w:val="0"/>
          <w:sz w:val="21"/>
          <w:szCs w:val="21"/>
        </w:rPr>
        <w:t>四、局部麻醉药</w:t>
      </w:r>
    </w:p>
    <w:p w14:paraId="4B9883D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局部麻醉药能局部阻断神经传导，而不破坏神经组织。实验中使用的局部麻醉药有酯类和酰胺类。酯类局麻药包括普鲁卡因、氯普鲁卡因等，酯类局麻药在血浆中水解，其代谢产物对氨基苯甲酸可引起过敏反应；酰胺类局麻药有利多卡因、布比卡因等，酰胺类局麻药在肝脏内水解。</w:t>
      </w:r>
    </w:p>
    <w:p w14:paraId="3507D70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普鲁卡因（Procaine）：短效局麻药，起效时间1-3分钟，时效约50分钟</w:t>
      </w:r>
    </w:p>
    <w:p w14:paraId="08D2142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利多卡因（Lidocaine）：中效局麻药，推荐浸润浓度为0.5% - 2%，小鼠最大剂量为17.5mg/kg。起效时间1-5分钟，时效1-1.5小时。扩散和穿透力较强。</w:t>
      </w:r>
    </w:p>
    <w:p w14:paraId="20803FE9">
      <w:pPr>
        <w:rPr>
          <w:rFonts w:hint="eastAsia" w:ascii="黑体" w:hAnsi="黑体" w:eastAsia="黑体"/>
          <w:b/>
          <w:bCs/>
          <w:sz w:val="18"/>
          <w:szCs w:val="18"/>
        </w:rPr>
      </w:pPr>
    </w:p>
    <w:p w14:paraId="115E70A9">
      <w:pPr>
        <w:jc w:val="center"/>
        <w:rPr>
          <w:rFonts w:ascii="黑体" w:hAnsi="黑体" w:eastAsia="黑体"/>
          <w:b/>
          <w:bCs/>
          <w:color w:val="0070C0"/>
          <w:sz w:val="32"/>
          <w:szCs w:val="32"/>
        </w:rPr>
      </w:pPr>
      <w:r>
        <w:rPr>
          <w:rFonts w:hint="eastAsia" w:ascii="黑体" w:hAnsi="黑体" w:eastAsia="黑体"/>
          <w:b/>
          <w:bCs/>
          <w:color w:val="0070C0"/>
          <w:sz w:val="32"/>
          <w:szCs w:val="32"/>
        </w:rPr>
        <w:t>实验动物人道终点的衡量</w:t>
      </w:r>
    </w:p>
    <w:p w14:paraId="4AB2AD29">
      <w:pPr>
        <w:rPr>
          <w:rFonts w:hint="eastAsia" w:ascii="宋体" w:hAnsi="宋体" w:eastAsia="宋体" w:cs="宋体"/>
          <w:b w:val="0"/>
          <w:bCs w:val="0"/>
          <w:sz w:val="21"/>
          <w:szCs w:val="21"/>
        </w:rPr>
      </w:pPr>
      <w:r>
        <w:rPr>
          <w:rFonts w:hint="eastAsia" w:ascii="宋体" w:hAnsi="宋体" w:eastAsia="宋体" w:cs="宋体"/>
          <w:b w:val="0"/>
          <w:bCs w:val="0"/>
          <w:sz w:val="21"/>
          <w:szCs w:val="21"/>
        </w:rPr>
        <w:t>1. 实验动物人道终点是什么？</w:t>
      </w:r>
    </w:p>
    <w:p w14:paraId="43A9CA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人道终点能反映实验动物遭受严重的疼痛、痛苦或濒临死亡最早的指标，并且在这些不良指标出现时提前对动物实施安乐死。随着“3R”原则的深入实践，人道终点可视为一种优化（Refinement）策略，其目的是尽可能减轻实验期间动物所遭受的疼痛和痛苦，或缩短动物承受疼痛或痛苦的时间长度。</w:t>
      </w:r>
    </w:p>
    <w:p w14:paraId="03EFDD47">
      <w:pPr>
        <w:rPr>
          <w:rFonts w:hint="eastAsia" w:ascii="宋体" w:hAnsi="宋体" w:eastAsia="宋体" w:cs="宋体"/>
          <w:b w:val="0"/>
          <w:bCs w:val="0"/>
          <w:sz w:val="21"/>
          <w:szCs w:val="21"/>
        </w:rPr>
      </w:pPr>
      <w:r>
        <w:rPr>
          <w:rFonts w:hint="eastAsia" w:ascii="宋体" w:hAnsi="宋体" w:eastAsia="宋体" w:cs="宋体"/>
          <w:b w:val="0"/>
          <w:bCs w:val="0"/>
          <w:sz w:val="21"/>
          <w:szCs w:val="21"/>
        </w:rPr>
        <w:t>2. 什么时候要考虑人道终点？</w:t>
      </w:r>
    </w:p>
    <w:p w14:paraId="24089D9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当研究的科学目标已经达成，继续进行实验的意义不大；</w:t>
      </w:r>
    </w:p>
    <w:p w14:paraId="7991CD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当动物遭受意外的痛苦（该痛苦不是由实验本身引起的，且是实验开始前始料未及的）；</w:t>
      </w:r>
    </w:p>
    <w:p w14:paraId="69816F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实验开始前已预料到动物会遭受这种痛苦，但动物实际遭受的痛苦比预期更严重；</w:t>
      </w:r>
    </w:p>
    <w:p w14:paraId="25B1FD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动物遭受的疼痛或痛苦由实验本身引起，并在实验开始前就预料到的。</w:t>
      </w:r>
    </w:p>
    <w:p w14:paraId="385F809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达到研究目的”不是实施人道终点的必要条件，当动物遭受的疼痛或痛苦达到预定级别，即使实验尚未达到预期目标，也应考虑提前结束实验；而决定“是否提前结束实验”必须经过严谨的“代价-价值分析（Cost/Benefit Analysis）”，对动物造成的伤害与研究价值之间进行取舍。</w:t>
      </w:r>
    </w:p>
    <w:p w14:paraId="271D09A1">
      <w:pPr>
        <w:rPr>
          <w:rFonts w:hint="eastAsia" w:ascii="宋体" w:hAnsi="宋体" w:eastAsia="宋体" w:cs="宋体"/>
          <w:b w:val="0"/>
          <w:bCs w:val="0"/>
          <w:sz w:val="21"/>
          <w:szCs w:val="21"/>
        </w:rPr>
      </w:pPr>
      <w:r>
        <w:rPr>
          <w:rFonts w:hint="eastAsia" w:ascii="宋体" w:hAnsi="宋体" w:eastAsia="宋体" w:cs="宋体"/>
          <w:b w:val="0"/>
          <w:bCs w:val="0"/>
          <w:sz w:val="21"/>
          <w:szCs w:val="21"/>
        </w:rPr>
        <w:t>3. 动物实验人道终点的评估项目：</w:t>
      </w:r>
    </w:p>
    <w:p w14:paraId="2007243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体重下降：快速失去原体重的 15-20%、或成长期动物持续无增重、未监测体重但动物呈现恶病质及持续性肌肉消耗时。</w:t>
      </w:r>
    </w:p>
    <w:p w14:paraId="4D04BA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丧失食欲：小型啮齿类动物完全丧失食欲达24小时或食欲不佳（低于正常量之50％）达3天时。大动物完全丧失食欲达5天或食欲不佳（低于正常量之50％）达7天时。</w:t>
      </w:r>
    </w:p>
    <w:p w14:paraId="49608D6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虚弱：无法自行摄食及饮水，长达24小时无法站立或极度勉强才可站立。需先排除是否为麻醉后动物苏醒期，再评估是否因疾病或实验等因素导致动物虚弱。</w:t>
      </w:r>
    </w:p>
    <w:p w14:paraId="181DAED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身体器官的感染：呈现物理性指标及异常的血检值，对药物治疗无良好反应且持续演变为全身性疾病时。</w:t>
      </w:r>
    </w:p>
    <w:p w14:paraId="45C942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肿瘤：生长超过动物原体重的10%，平均肿瘤直径在小鼠超过20mm、在大鼠超过40mm，或者肿瘤转移或快速增长至溃烂，造成感染或坏死时。</w:t>
      </w:r>
    </w:p>
    <w:p w14:paraId="5510A9A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垂死/濒死：动物在没有麻醉或镇静的状态下，表现精神抑郁伴随体温过低（低于37℃）时。</w:t>
      </w:r>
    </w:p>
    <w:p w14:paraId="7B48BF8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器官系统衰竭：出现严重的器官系统功能障碍的临床症状且治疗无效，或经动物中心兽医判断预后不佳时。</w:t>
      </w:r>
    </w:p>
    <w:p w14:paraId="30E8C52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呼吸道系统：严重呼吸道感染、呼吸困难、发绀</w:t>
      </w:r>
    </w:p>
    <w:p w14:paraId="6CDF859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循环系统：严重贫血、无法控制的出血现象（PVC 低于 15%）、黄疸</w:t>
      </w:r>
    </w:p>
    <w:p w14:paraId="5614BC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消化道系统：疾病或实验造成严重持续性呕吐或下痢、阻塞、肠套迭、腹膜炎、腹围扩大</w:t>
      </w:r>
    </w:p>
    <w:p w14:paraId="7489F7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泌尿生殖系统：肾衰竭、腹腔积水</w:t>
      </w:r>
    </w:p>
    <w:p w14:paraId="6BFBD9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肌肉骨骼系统：肌肉损伤、骨骼受损、四肢无法行走</w:t>
      </w:r>
    </w:p>
    <w:p w14:paraId="37DEE07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神经系统：异常的中枢神经反应(抽搐、颤抖、瘫痪、歪头等)、无法有效控制疼痛。</w:t>
      </w:r>
    </w:p>
    <w:p w14:paraId="7C55229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其他：持续性的自残行为、不愈合的伤口、严重影响动物进食饮水的病症、传染性疾病末期、持续性低温、明显的器官及五官功能损伤、动物遭受窘迫及疼痛时的行为及生理现象</w:t>
      </w:r>
    </w:p>
    <w:p w14:paraId="691D0F5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p w14:paraId="1AE33D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更多有关实验动物人道终点的知识请参阅：刘晓宇, 卢选成, 贺争鸣. 实验动物仁慈终点技术研究的发展与应用[J]. 实验动物科学, 2016, 33(2):54-60. (http://www.cnki.com.cn/Article/CJFDTotal-SYDG201602011.htm)</w:t>
      </w:r>
    </w:p>
    <w:p w14:paraId="04556951"/>
    <w:p w14:paraId="685239CC"/>
    <w:p w14:paraId="300AB82D"/>
    <w:p w14:paraId="4BE4AD41"/>
    <w:p w14:paraId="5E15A1FC">
      <w:pPr>
        <w:jc w:val="center"/>
        <w:rPr>
          <w:rFonts w:ascii="黑体" w:hAnsi="黑体" w:eastAsia="黑体"/>
          <w:b/>
          <w:bCs/>
          <w:color w:val="0070C0"/>
          <w:sz w:val="32"/>
          <w:szCs w:val="32"/>
        </w:rPr>
      </w:pPr>
      <w:r>
        <w:rPr>
          <w:rFonts w:hint="eastAsia" w:ascii="黑体" w:hAnsi="黑体" w:eastAsia="黑体"/>
          <w:b/>
          <w:bCs/>
          <w:color w:val="0070C0"/>
          <w:sz w:val="32"/>
          <w:szCs w:val="32"/>
        </w:rPr>
        <w:t>常用实验动物安乐死方法</w:t>
      </w:r>
    </w:p>
    <w:p w14:paraId="0BFB8A82">
      <w:pPr>
        <w:rPr>
          <w:rFonts w:hint="eastAsia" w:ascii="宋体" w:hAnsi="宋体" w:eastAsia="宋体" w:cs="宋体"/>
          <w:b w:val="0"/>
          <w:bCs w:val="0"/>
          <w:sz w:val="21"/>
          <w:szCs w:val="21"/>
        </w:rPr>
      </w:pPr>
      <w:r>
        <w:rPr>
          <w:rFonts w:hint="eastAsia" w:ascii="宋体" w:hAnsi="宋体" w:eastAsia="宋体" w:cs="宋体"/>
          <w:b w:val="0"/>
          <w:bCs w:val="0"/>
          <w:sz w:val="21"/>
          <w:szCs w:val="21"/>
        </w:rPr>
        <w:t>一、动物安乐死的目的</w:t>
      </w:r>
    </w:p>
    <w:p w14:paraId="533E4D5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动物安乐死的目的是以人道的方式结束动物的生命，使动物的疼痛、恐惧、应激程度降至最低，并在最短的时间内失去知觉和痛觉。在科学应用、教学及试验中，常因下列因素选择对实验动物执行安乐死：</w:t>
      </w:r>
    </w:p>
    <w:p w14:paraId="182963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实验终结</w:t>
      </w:r>
    </w:p>
    <w:p w14:paraId="06D883F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因研究所需提供血液或其他组织脏器</w:t>
      </w:r>
    </w:p>
    <w:p w14:paraId="3B4AC6F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当动物的疼痛与应激程度超出预期程度</w:t>
      </w:r>
    </w:p>
    <w:p w14:paraId="3EBFA25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出于动物健康和福利考量</w:t>
      </w:r>
    </w:p>
    <w:p w14:paraId="58C478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不适合继续繁殖（育种因素）</w:t>
      </w:r>
    </w:p>
    <w:p w14:paraId="338289F2">
      <w:pPr>
        <w:rPr>
          <w:rFonts w:hint="eastAsia" w:ascii="宋体" w:hAnsi="宋体" w:eastAsia="宋体" w:cs="宋体"/>
          <w:b w:val="0"/>
          <w:bCs w:val="0"/>
          <w:sz w:val="21"/>
          <w:szCs w:val="21"/>
        </w:rPr>
      </w:pPr>
      <w:r>
        <w:rPr>
          <w:rFonts w:hint="eastAsia" w:ascii="宋体" w:hAnsi="宋体" w:eastAsia="宋体" w:cs="宋体"/>
          <w:b w:val="0"/>
          <w:bCs w:val="0"/>
          <w:sz w:val="21"/>
          <w:szCs w:val="21"/>
        </w:rPr>
        <w:t>二、选择安乐死的药物与方法的原则：</w:t>
      </w:r>
    </w:p>
    <w:p w14:paraId="31F2E4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避免动物在死亡之前处于疼痛、焦虑、恐惧、应激等不良状态</w:t>
      </w:r>
    </w:p>
    <w:p w14:paraId="4E3C94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缩短动物从失去知觉直至死亡所耗费的时间</w:t>
      </w:r>
    </w:p>
    <w:p w14:paraId="0516D49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安乐死药物与方法的可靠性</w:t>
      </w:r>
    </w:p>
    <w:p w14:paraId="57E596A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对操作人员的安全性</w:t>
      </w:r>
    </w:p>
    <w:p w14:paraId="1DD0F4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不可逆性</w:t>
      </w:r>
    </w:p>
    <w:p w14:paraId="744E69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对操作和观察人员情绪上的影响</w:t>
      </w:r>
    </w:p>
    <w:p w14:paraId="7F28811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对不同品种、年龄与健康状态的动物的适合性</w:t>
      </w:r>
    </w:p>
    <w:p w14:paraId="4FEDE6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对不同实验需求和目的的适合性</w:t>
      </w:r>
    </w:p>
    <w:p w14:paraId="74A96E7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设备的获取及维护的便利性</w:t>
      </w:r>
    </w:p>
    <w:p w14:paraId="2300B3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对环境的影响</w:t>
      </w:r>
    </w:p>
    <w:p w14:paraId="6CE1436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人滥用药物的潜在危害性</w:t>
      </w:r>
    </w:p>
    <w:p w14:paraId="5C965A43">
      <w:pPr>
        <w:rPr>
          <w:rFonts w:hint="eastAsia" w:ascii="宋体" w:hAnsi="宋体" w:eastAsia="宋体" w:cs="宋体"/>
          <w:b w:val="0"/>
          <w:bCs w:val="0"/>
          <w:sz w:val="21"/>
          <w:szCs w:val="21"/>
        </w:rPr>
      </w:pPr>
      <w:r>
        <w:rPr>
          <w:rFonts w:hint="eastAsia" w:ascii="宋体" w:hAnsi="宋体" w:eastAsia="宋体" w:cs="宋体"/>
          <w:b w:val="0"/>
          <w:bCs w:val="0"/>
          <w:sz w:val="21"/>
          <w:szCs w:val="21"/>
        </w:rPr>
        <w:t>三、常用安乐死方法</w:t>
      </w:r>
    </w:p>
    <w:p w14:paraId="75425E15">
      <w:pPr>
        <w:ind w:firstLine="420" w:firstLineChars="200"/>
        <w:rPr>
          <w:rFonts w:hint="eastAsia" w:ascii="宋体" w:hAnsi="宋体" w:eastAsia="宋体" w:cs="宋体"/>
          <w:b w:val="0"/>
          <w:bCs w:val="0"/>
          <w:sz w:val="21"/>
          <w:szCs w:val="21"/>
        </w:rPr>
      </w:pPr>
    </w:p>
    <w:tbl>
      <w:tblPr>
        <w:tblStyle w:val="14"/>
        <w:tblW w:w="10022" w:type="dxa"/>
        <w:tblInd w:w="-865" w:type="dxa"/>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Layout w:type="fixed"/>
        <w:tblCellMar>
          <w:top w:w="0" w:type="dxa"/>
          <w:left w:w="0" w:type="dxa"/>
          <w:bottom w:w="0" w:type="dxa"/>
          <w:right w:w="0" w:type="dxa"/>
        </w:tblCellMar>
      </w:tblPr>
      <w:tblGrid>
        <w:gridCol w:w="1276"/>
        <w:gridCol w:w="948"/>
        <w:gridCol w:w="989"/>
        <w:gridCol w:w="1055"/>
        <w:gridCol w:w="900"/>
        <w:gridCol w:w="855"/>
        <w:gridCol w:w="779"/>
        <w:gridCol w:w="904"/>
        <w:gridCol w:w="940"/>
        <w:gridCol w:w="1376"/>
      </w:tblGrid>
      <w:tr w14:paraId="247D6703">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0E2040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方法</w:t>
            </w:r>
          </w:p>
        </w:tc>
        <w:tc>
          <w:tcPr>
            <w:tcW w:w="948" w:type="dxa"/>
            <w:tcBorders>
              <w:top w:val="outset" w:color="auto" w:sz="6" w:space="0"/>
              <w:left w:val="outset" w:color="auto" w:sz="6" w:space="0"/>
              <w:bottom w:val="outset" w:color="auto" w:sz="6" w:space="0"/>
              <w:right w:val="outset" w:color="auto" w:sz="6" w:space="0"/>
            </w:tcBorders>
            <w:vAlign w:val="center"/>
          </w:tcPr>
          <w:p w14:paraId="0646B0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乳鼠</w:t>
            </w:r>
          </w:p>
          <w:p w14:paraId="60EE270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(0-6日龄)</w:t>
            </w:r>
          </w:p>
        </w:tc>
        <w:tc>
          <w:tcPr>
            <w:tcW w:w="989" w:type="dxa"/>
            <w:tcBorders>
              <w:top w:val="outset" w:color="auto" w:sz="6" w:space="0"/>
              <w:left w:val="outset" w:color="auto" w:sz="6" w:space="0"/>
              <w:bottom w:val="outset" w:color="auto" w:sz="6" w:space="0"/>
              <w:right w:val="outset" w:color="auto" w:sz="6" w:space="0"/>
            </w:tcBorders>
            <w:vAlign w:val="center"/>
          </w:tcPr>
          <w:p w14:paraId="2B5BC2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小鼠、大鼠(BW&lt;200g)</w:t>
            </w:r>
          </w:p>
          <w:p w14:paraId="7A49761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 (BW&lt;2kg)</w:t>
            </w:r>
          </w:p>
        </w:tc>
        <w:tc>
          <w:tcPr>
            <w:tcW w:w="1055" w:type="dxa"/>
            <w:tcBorders>
              <w:top w:val="outset" w:color="auto" w:sz="6" w:space="0"/>
              <w:left w:val="outset" w:color="auto" w:sz="6" w:space="0"/>
              <w:bottom w:val="outset" w:color="auto" w:sz="6" w:space="0"/>
              <w:right w:val="outset" w:color="auto" w:sz="6" w:space="0"/>
            </w:tcBorders>
            <w:vAlign w:val="center"/>
          </w:tcPr>
          <w:p w14:paraId="6F433B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大鼠、豚鼠</w:t>
            </w:r>
          </w:p>
          <w:p w14:paraId="01532DB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(BW≥200g)</w:t>
            </w:r>
          </w:p>
        </w:tc>
        <w:tc>
          <w:tcPr>
            <w:tcW w:w="900" w:type="dxa"/>
            <w:tcBorders>
              <w:top w:val="outset" w:color="auto" w:sz="6" w:space="0"/>
              <w:left w:val="outset" w:color="auto" w:sz="6" w:space="0"/>
              <w:bottom w:val="outset" w:color="auto" w:sz="6" w:space="0"/>
              <w:right w:val="outset" w:color="auto" w:sz="6" w:space="0"/>
            </w:tcBorders>
            <w:vAlign w:val="center"/>
          </w:tcPr>
          <w:p w14:paraId="6F0C74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兔(BW&gt;2kg)</w:t>
            </w:r>
          </w:p>
        </w:tc>
        <w:tc>
          <w:tcPr>
            <w:tcW w:w="855" w:type="dxa"/>
            <w:tcBorders>
              <w:top w:val="outset" w:color="auto" w:sz="6" w:space="0"/>
              <w:left w:val="outset" w:color="auto" w:sz="6" w:space="0"/>
              <w:bottom w:val="outset" w:color="auto" w:sz="6" w:space="0"/>
              <w:right w:val="outset" w:color="auto" w:sz="6" w:space="0"/>
            </w:tcBorders>
            <w:vAlign w:val="center"/>
          </w:tcPr>
          <w:p w14:paraId="4BD2E2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犬</w:t>
            </w:r>
          </w:p>
          <w:p w14:paraId="7450FE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猫</w:t>
            </w:r>
          </w:p>
          <w:p w14:paraId="62376A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c>
          <w:tcPr>
            <w:tcW w:w="779" w:type="dxa"/>
            <w:tcBorders>
              <w:top w:val="outset" w:color="auto" w:sz="6" w:space="0"/>
              <w:left w:val="outset" w:color="auto" w:sz="6" w:space="0"/>
              <w:bottom w:val="outset" w:color="auto" w:sz="6" w:space="0"/>
              <w:right w:val="outset" w:color="auto" w:sz="6" w:space="0"/>
            </w:tcBorders>
            <w:vAlign w:val="center"/>
          </w:tcPr>
          <w:p w14:paraId="030AA8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非人灵长类</w:t>
            </w:r>
          </w:p>
        </w:tc>
        <w:tc>
          <w:tcPr>
            <w:tcW w:w="904" w:type="dxa"/>
            <w:tcBorders>
              <w:top w:val="outset" w:color="auto" w:sz="6" w:space="0"/>
              <w:left w:val="outset" w:color="auto" w:sz="6" w:space="0"/>
              <w:bottom w:val="outset" w:color="auto" w:sz="6" w:space="0"/>
              <w:right w:val="outset" w:color="auto" w:sz="6" w:space="0"/>
            </w:tcBorders>
            <w:vAlign w:val="center"/>
          </w:tcPr>
          <w:p w14:paraId="4AFF58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小型鸟</w:t>
            </w:r>
          </w:p>
          <w:p w14:paraId="40EE31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禽类</w:t>
            </w:r>
          </w:p>
        </w:tc>
        <w:tc>
          <w:tcPr>
            <w:tcW w:w="940" w:type="dxa"/>
            <w:tcBorders>
              <w:top w:val="outset" w:color="auto" w:sz="6" w:space="0"/>
              <w:left w:val="outset" w:color="auto" w:sz="6" w:space="0"/>
              <w:bottom w:val="outset" w:color="auto" w:sz="6" w:space="0"/>
              <w:right w:val="outset" w:color="auto" w:sz="6" w:space="0"/>
            </w:tcBorders>
            <w:vAlign w:val="center"/>
          </w:tcPr>
          <w:p w14:paraId="0CE4FF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农场动物（猪、反刍动物、马等）</w:t>
            </w:r>
          </w:p>
        </w:tc>
        <w:tc>
          <w:tcPr>
            <w:tcW w:w="1376" w:type="dxa"/>
            <w:tcBorders>
              <w:top w:val="outset" w:color="auto" w:sz="6" w:space="0"/>
              <w:left w:val="outset" w:color="auto" w:sz="6" w:space="0"/>
              <w:bottom w:val="outset" w:color="auto" w:sz="6" w:space="0"/>
              <w:right w:val="outset" w:color="auto" w:sz="6" w:space="0"/>
            </w:tcBorders>
            <w:vAlign w:val="center"/>
          </w:tcPr>
          <w:p w14:paraId="481B7C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两栖动物</w:t>
            </w:r>
          </w:p>
          <w:p w14:paraId="6192CE4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爬行动物</w:t>
            </w:r>
          </w:p>
          <w:p w14:paraId="580074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鱼类</w:t>
            </w:r>
          </w:p>
        </w:tc>
      </w:tr>
      <w:tr w14:paraId="018B309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79E59349">
            <w:pPr>
              <w:rPr>
                <w:rFonts w:hint="eastAsia" w:ascii="宋体" w:hAnsi="宋体" w:eastAsia="宋体" w:cs="宋体"/>
                <w:b w:val="0"/>
                <w:bCs w:val="0"/>
                <w:sz w:val="21"/>
                <w:szCs w:val="21"/>
              </w:rPr>
            </w:pPr>
            <w:r>
              <w:rPr>
                <w:rFonts w:hint="eastAsia" w:ascii="宋体" w:hAnsi="宋体" w:eastAsia="宋体" w:cs="宋体"/>
                <w:b w:val="0"/>
                <w:bCs w:val="0"/>
                <w:sz w:val="21"/>
                <w:szCs w:val="21"/>
              </w:rPr>
              <w:t>二氧化碳</w:t>
            </w:r>
          </w:p>
        </w:tc>
        <w:tc>
          <w:tcPr>
            <w:tcW w:w="948" w:type="dxa"/>
            <w:tcBorders>
              <w:top w:val="outset" w:color="auto" w:sz="6" w:space="0"/>
              <w:left w:val="outset" w:color="auto" w:sz="6" w:space="0"/>
              <w:bottom w:val="outset" w:color="auto" w:sz="6" w:space="0"/>
              <w:right w:val="outset" w:color="auto" w:sz="6" w:space="0"/>
            </w:tcBorders>
            <w:vAlign w:val="center"/>
          </w:tcPr>
          <w:p w14:paraId="7750565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00E684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3C3700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1BAE205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021AF13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5EA37A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40A080C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687A680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restart"/>
            <w:tcBorders>
              <w:top w:val="outset" w:color="auto" w:sz="6" w:space="0"/>
              <w:left w:val="outset" w:color="auto" w:sz="6" w:space="0"/>
              <w:bottom w:val="outset" w:color="auto" w:sz="6" w:space="0"/>
              <w:right w:val="outset" w:color="auto" w:sz="6" w:space="0"/>
            </w:tcBorders>
            <w:vAlign w:val="center"/>
          </w:tcPr>
          <w:p w14:paraId="3AF5C4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两栖动物和鱼类适用于液氮低温冷冻或急速降温的方法安乐死</w:t>
            </w:r>
          </w:p>
        </w:tc>
      </w:tr>
      <w:tr w14:paraId="65E29C14">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53D47F20">
            <w:pPr>
              <w:rPr>
                <w:rFonts w:hint="eastAsia" w:ascii="宋体" w:hAnsi="宋体" w:eastAsia="宋体" w:cs="宋体"/>
                <w:b w:val="0"/>
                <w:bCs w:val="0"/>
                <w:sz w:val="21"/>
                <w:szCs w:val="21"/>
              </w:rPr>
            </w:pPr>
            <w:r>
              <w:rPr>
                <w:rFonts w:hint="eastAsia" w:ascii="宋体" w:hAnsi="宋体" w:eastAsia="宋体" w:cs="宋体"/>
                <w:b w:val="0"/>
                <w:bCs w:val="0"/>
                <w:sz w:val="21"/>
                <w:szCs w:val="21"/>
              </w:rPr>
              <w:t>注射安乐死药物（100mg/kg, IV）</w:t>
            </w:r>
          </w:p>
        </w:tc>
        <w:tc>
          <w:tcPr>
            <w:tcW w:w="948" w:type="dxa"/>
            <w:tcBorders>
              <w:top w:val="outset" w:color="auto" w:sz="6" w:space="0"/>
              <w:left w:val="outset" w:color="auto" w:sz="6" w:space="0"/>
              <w:bottom w:val="outset" w:color="auto" w:sz="6" w:space="0"/>
              <w:right w:val="outset" w:color="auto" w:sz="6" w:space="0"/>
            </w:tcBorders>
            <w:vAlign w:val="center"/>
          </w:tcPr>
          <w:p w14:paraId="1A1DE0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072CB1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58A24EF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65BC6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07D2A07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6633D1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182A79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307EA38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553409E">
            <w:pPr>
              <w:ind w:firstLine="420" w:firstLineChars="200"/>
              <w:rPr>
                <w:rFonts w:hint="eastAsia" w:ascii="宋体" w:hAnsi="宋体" w:eastAsia="宋体" w:cs="宋体"/>
                <w:b w:val="0"/>
                <w:bCs w:val="0"/>
                <w:sz w:val="21"/>
                <w:szCs w:val="21"/>
              </w:rPr>
            </w:pPr>
          </w:p>
        </w:tc>
      </w:tr>
      <w:tr w14:paraId="457A5F7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18A8B53">
            <w:pPr>
              <w:rPr>
                <w:rFonts w:hint="eastAsia" w:ascii="宋体" w:hAnsi="宋体" w:eastAsia="宋体" w:cs="宋体"/>
                <w:b w:val="0"/>
                <w:bCs w:val="0"/>
                <w:sz w:val="21"/>
                <w:szCs w:val="21"/>
              </w:rPr>
            </w:pPr>
            <w:r>
              <w:rPr>
                <w:rFonts w:hint="eastAsia" w:ascii="宋体" w:hAnsi="宋体" w:eastAsia="宋体" w:cs="宋体"/>
                <w:b w:val="0"/>
                <w:bCs w:val="0"/>
                <w:sz w:val="21"/>
                <w:szCs w:val="21"/>
              </w:rPr>
              <w:t>吸入安乐死药物</w:t>
            </w:r>
          </w:p>
        </w:tc>
        <w:tc>
          <w:tcPr>
            <w:tcW w:w="948" w:type="dxa"/>
            <w:tcBorders>
              <w:top w:val="outset" w:color="auto" w:sz="6" w:space="0"/>
              <w:left w:val="outset" w:color="auto" w:sz="6" w:space="0"/>
              <w:bottom w:val="outset" w:color="auto" w:sz="6" w:space="0"/>
              <w:right w:val="outset" w:color="auto" w:sz="6" w:space="0"/>
            </w:tcBorders>
            <w:vAlign w:val="center"/>
          </w:tcPr>
          <w:p w14:paraId="7B0FC3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26D5530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60DDEDF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3CFEAA5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0DAB43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14144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2FF57E3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77F8C3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1D75A652">
            <w:pPr>
              <w:ind w:firstLine="420" w:firstLineChars="200"/>
              <w:rPr>
                <w:rFonts w:hint="eastAsia" w:ascii="宋体" w:hAnsi="宋体" w:eastAsia="宋体" w:cs="宋体"/>
                <w:b w:val="0"/>
                <w:bCs w:val="0"/>
                <w:sz w:val="21"/>
                <w:szCs w:val="21"/>
              </w:rPr>
            </w:pPr>
          </w:p>
        </w:tc>
      </w:tr>
      <w:tr w14:paraId="6A57D33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02AE5E76">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深麻状态下IV注射KCl （1-2mg/kg）</w:t>
            </w:r>
          </w:p>
        </w:tc>
        <w:tc>
          <w:tcPr>
            <w:tcW w:w="948" w:type="dxa"/>
            <w:tcBorders>
              <w:top w:val="outset" w:color="auto" w:sz="6" w:space="0"/>
              <w:left w:val="outset" w:color="auto" w:sz="6" w:space="0"/>
              <w:bottom w:val="outset" w:color="auto" w:sz="6" w:space="0"/>
              <w:right w:val="outset" w:color="auto" w:sz="6" w:space="0"/>
            </w:tcBorders>
            <w:vAlign w:val="center"/>
          </w:tcPr>
          <w:p w14:paraId="766A87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FE66A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759759E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4A617BF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8DC91D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0D47F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5329AF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0138C40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79C3DF3B">
            <w:pPr>
              <w:ind w:firstLine="420" w:firstLineChars="200"/>
              <w:rPr>
                <w:rFonts w:hint="eastAsia" w:ascii="宋体" w:hAnsi="宋体" w:eastAsia="宋体" w:cs="宋体"/>
                <w:b w:val="0"/>
                <w:bCs w:val="0"/>
                <w:sz w:val="21"/>
                <w:szCs w:val="21"/>
              </w:rPr>
            </w:pPr>
          </w:p>
        </w:tc>
      </w:tr>
      <w:tr w14:paraId="7E740E9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64EE93B">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深麻状态下放血</w:t>
            </w:r>
          </w:p>
        </w:tc>
        <w:tc>
          <w:tcPr>
            <w:tcW w:w="948" w:type="dxa"/>
            <w:tcBorders>
              <w:top w:val="outset" w:color="auto" w:sz="6" w:space="0"/>
              <w:left w:val="outset" w:color="auto" w:sz="6" w:space="0"/>
              <w:bottom w:val="outset" w:color="auto" w:sz="6" w:space="0"/>
              <w:right w:val="outset" w:color="auto" w:sz="6" w:space="0"/>
            </w:tcBorders>
            <w:vAlign w:val="center"/>
          </w:tcPr>
          <w:p w14:paraId="5C5646C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74E587D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49A587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5040C1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5F3E82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7C15F5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7189958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639B6C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2F26CC30">
            <w:pPr>
              <w:ind w:firstLine="420" w:firstLineChars="200"/>
              <w:rPr>
                <w:rFonts w:hint="eastAsia" w:ascii="宋体" w:hAnsi="宋体" w:eastAsia="宋体" w:cs="宋体"/>
                <w:b w:val="0"/>
                <w:bCs w:val="0"/>
                <w:sz w:val="21"/>
                <w:szCs w:val="21"/>
              </w:rPr>
            </w:pPr>
          </w:p>
        </w:tc>
      </w:tr>
      <w:tr w14:paraId="0DD5383B">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561EB03">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深麻状态下断头</w:t>
            </w:r>
          </w:p>
        </w:tc>
        <w:tc>
          <w:tcPr>
            <w:tcW w:w="948" w:type="dxa"/>
            <w:tcBorders>
              <w:top w:val="outset" w:color="auto" w:sz="6" w:space="0"/>
              <w:left w:val="outset" w:color="auto" w:sz="6" w:space="0"/>
              <w:bottom w:val="outset" w:color="auto" w:sz="6" w:space="0"/>
              <w:right w:val="outset" w:color="auto" w:sz="6" w:space="0"/>
            </w:tcBorders>
            <w:vAlign w:val="center"/>
          </w:tcPr>
          <w:p w14:paraId="5881B8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0396452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36E792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6CDEC9B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39ED72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55756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629EAC9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7C50F8B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49639EF0">
            <w:pPr>
              <w:ind w:firstLine="420" w:firstLineChars="200"/>
              <w:rPr>
                <w:rFonts w:hint="eastAsia" w:ascii="宋体" w:hAnsi="宋体" w:eastAsia="宋体" w:cs="宋体"/>
                <w:b w:val="0"/>
                <w:bCs w:val="0"/>
                <w:sz w:val="21"/>
                <w:szCs w:val="21"/>
              </w:rPr>
            </w:pPr>
          </w:p>
        </w:tc>
      </w:tr>
      <w:tr w14:paraId="6048C8CE">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7DAD725">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深麻状态下颈椎脱臼</w:t>
            </w:r>
          </w:p>
        </w:tc>
        <w:tc>
          <w:tcPr>
            <w:tcW w:w="948" w:type="dxa"/>
            <w:tcBorders>
              <w:top w:val="outset" w:color="auto" w:sz="6" w:space="0"/>
              <w:left w:val="outset" w:color="auto" w:sz="6" w:space="0"/>
              <w:bottom w:val="outset" w:color="auto" w:sz="6" w:space="0"/>
              <w:right w:val="outset" w:color="auto" w:sz="6" w:space="0"/>
            </w:tcBorders>
            <w:vAlign w:val="center"/>
          </w:tcPr>
          <w:p w14:paraId="317C8A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11DEC9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AF7825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744F38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E4A1A6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1BE3A8D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07D0847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65768C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FFC6203">
            <w:pPr>
              <w:ind w:firstLine="420" w:firstLineChars="200"/>
              <w:rPr>
                <w:rFonts w:hint="eastAsia" w:ascii="宋体" w:hAnsi="宋体" w:eastAsia="宋体" w:cs="宋体"/>
                <w:b w:val="0"/>
                <w:bCs w:val="0"/>
                <w:sz w:val="21"/>
                <w:szCs w:val="21"/>
              </w:rPr>
            </w:pPr>
          </w:p>
        </w:tc>
      </w:tr>
      <w:tr w14:paraId="515B8C5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634C7E1F">
            <w:pPr>
              <w:rPr>
                <w:rFonts w:hint="eastAsia" w:ascii="宋体" w:hAnsi="宋体" w:eastAsia="宋体" w:cs="宋体"/>
                <w:b w:val="0"/>
                <w:bCs w:val="0"/>
                <w:sz w:val="21"/>
                <w:szCs w:val="21"/>
              </w:rPr>
            </w:pPr>
            <w:r>
              <w:rPr>
                <w:rFonts w:hint="eastAsia" w:ascii="宋体" w:hAnsi="宋体" w:eastAsia="宋体" w:cs="宋体"/>
                <w:b w:val="0"/>
                <w:bCs w:val="0"/>
                <w:sz w:val="21"/>
                <w:szCs w:val="21"/>
              </w:rPr>
              <w:t>清醒时断头</w:t>
            </w:r>
          </w:p>
        </w:tc>
        <w:tc>
          <w:tcPr>
            <w:tcW w:w="948" w:type="dxa"/>
            <w:tcBorders>
              <w:top w:val="outset" w:color="auto" w:sz="6" w:space="0"/>
              <w:left w:val="outset" w:color="auto" w:sz="6" w:space="0"/>
              <w:bottom w:val="outset" w:color="auto" w:sz="6" w:space="0"/>
              <w:right w:val="outset" w:color="auto" w:sz="6" w:space="0"/>
            </w:tcBorders>
            <w:vAlign w:val="center"/>
          </w:tcPr>
          <w:p w14:paraId="088F4B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7C57BC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4CF066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3D9F770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29A61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3D76F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5AE645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F08272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6D26AE5">
            <w:pPr>
              <w:ind w:firstLine="420" w:firstLineChars="200"/>
              <w:rPr>
                <w:rFonts w:hint="eastAsia" w:ascii="宋体" w:hAnsi="宋体" w:eastAsia="宋体" w:cs="宋体"/>
                <w:b w:val="0"/>
                <w:bCs w:val="0"/>
                <w:sz w:val="21"/>
                <w:szCs w:val="21"/>
              </w:rPr>
            </w:pPr>
          </w:p>
        </w:tc>
      </w:tr>
      <w:tr w14:paraId="260B2F56">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02495F7">
            <w:pPr>
              <w:rPr>
                <w:rFonts w:hint="eastAsia" w:ascii="宋体" w:hAnsi="宋体" w:eastAsia="宋体" w:cs="宋体"/>
                <w:b w:val="0"/>
                <w:bCs w:val="0"/>
                <w:sz w:val="21"/>
                <w:szCs w:val="21"/>
              </w:rPr>
            </w:pPr>
            <w:r>
              <w:rPr>
                <w:rFonts w:hint="eastAsia" w:ascii="宋体" w:hAnsi="宋体" w:eastAsia="宋体" w:cs="宋体"/>
                <w:b w:val="0"/>
                <w:bCs w:val="0"/>
                <w:sz w:val="21"/>
                <w:szCs w:val="21"/>
              </w:rPr>
              <w:t>清醒时颈椎脱臼</w:t>
            </w:r>
          </w:p>
        </w:tc>
        <w:tc>
          <w:tcPr>
            <w:tcW w:w="948" w:type="dxa"/>
            <w:tcBorders>
              <w:top w:val="outset" w:color="auto" w:sz="6" w:space="0"/>
              <w:left w:val="outset" w:color="auto" w:sz="6" w:space="0"/>
              <w:bottom w:val="outset" w:color="auto" w:sz="6" w:space="0"/>
              <w:right w:val="outset" w:color="auto" w:sz="6" w:space="0"/>
            </w:tcBorders>
            <w:vAlign w:val="center"/>
          </w:tcPr>
          <w:p w14:paraId="5699F7D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BC54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09DBFD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5793124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40310A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46EBE7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178E46C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83F29A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3A2E8759">
            <w:pPr>
              <w:ind w:firstLine="420" w:firstLineChars="200"/>
              <w:rPr>
                <w:rFonts w:hint="eastAsia" w:ascii="宋体" w:hAnsi="宋体" w:eastAsia="宋体" w:cs="宋体"/>
                <w:b w:val="0"/>
                <w:bCs w:val="0"/>
                <w:sz w:val="21"/>
                <w:szCs w:val="21"/>
              </w:rPr>
            </w:pPr>
          </w:p>
        </w:tc>
      </w:tr>
      <w:tr w14:paraId="71B423B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0022" w:type="dxa"/>
            <w:gridSpan w:val="10"/>
            <w:tcBorders>
              <w:top w:val="outset" w:color="auto" w:sz="6" w:space="0"/>
              <w:left w:val="outset" w:color="auto" w:sz="6" w:space="0"/>
              <w:bottom w:val="outset" w:color="auto" w:sz="6" w:space="0"/>
              <w:right w:val="outset" w:color="auto" w:sz="6" w:space="0"/>
            </w:tcBorders>
            <w:vAlign w:val="center"/>
          </w:tcPr>
          <w:p w14:paraId="1623AD1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Note: √建议使用方法; ×不推荐使用方法 ！须有科学必要性并经伦理委员会审核通过方可使用的方法</w:t>
            </w:r>
          </w:p>
        </w:tc>
      </w:tr>
    </w:tbl>
    <w:p w14:paraId="5EBCC467"/>
    <w:p w14:paraId="0196ACD8">
      <w:pPr>
        <w:rPr>
          <w:rFonts w:hint="eastAsia" w:ascii="宋体" w:hAnsi="宋体" w:eastAsia="宋体" w:cs="宋体"/>
          <w:b w:val="0"/>
          <w:bCs w:val="0"/>
          <w:sz w:val="21"/>
          <w:szCs w:val="21"/>
        </w:rPr>
      </w:pPr>
      <w:r>
        <w:rPr>
          <w:rFonts w:hint="eastAsia" w:ascii="宋体" w:hAnsi="宋体" w:eastAsia="宋体" w:cs="宋体"/>
          <w:b w:val="0"/>
          <w:bCs w:val="0"/>
          <w:sz w:val="21"/>
          <w:szCs w:val="21"/>
        </w:rPr>
        <w:t>四、脊椎动物禁止使用的处死方法</w:t>
      </w:r>
    </w:p>
    <w:tbl>
      <w:tblPr>
        <w:tblStyle w:val="14"/>
        <w:tblpPr w:leftFromText="180" w:rightFromText="180" w:vertAnchor="text" w:horzAnchor="page" w:tblpX="1127" w:tblpY="256"/>
        <w:tblW w:w="9631" w:type="dxa"/>
        <w:tblInd w:w="0" w:type="dxa"/>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Layout w:type="autofit"/>
        <w:tblCellMar>
          <w:top w:w="0" w:type="dxa"/>
          <w:left w:w="0" w:type="dxa"/>
          <w:bottom w:w="0" w:type="dxa"/>
          <w:right w:w="0" w:type="dxa"/>
        </w:tblCellMar>
      </w:tblPr>
      <w:tblGrid>
        <w:gridCol w:w="2268"/>
        <w:gridCol w:w="7363"/>
      </w:tblGrid>
      <w:tr w14:paraId="790EC03B">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0A87EC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方法</w:t>
            </w:r>
          </w:p>
        </w:tc>
        <w:tc>
          <w:tcPr>
            <w:tcW w:w="7363" w:type="dxa"/>
            <w:tcBorders>
              <w:top w:val="outset" w:color="auto" w:sz="6" w:space="0"/>
              <w:left w:val="outset" w:color="auto" w:sz="6" w:space="0"/>
              <w:bottom w:val="outset" w:color="auto" w:sz="6" w:space="0"/>
              <w:right w:val="outset" w:color="auto" w:sz="6" w:space="0"/>
            </w:tcBorders>
            <w:vAlign w:val="center"/>
          </w:tcPr>
          <w:p w14:paraId="1B7881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说明</w:t>
            </w:r>
          </w:p>
        </w:tc>
      </w:tr>
      <w:tr w14:paraId="08A85370">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45F1989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静脉注射空气</w:t>
            </w:r>
          </w:p>
        </w:tc>
        <w:tc>
          <w:tcPr>
            <w:tcW w:w="7363" w:type="dxa"/>
            <w:tcBorders>
              <w:top w:val="outset" w:color="auto" w:sz="6" w:space="0"/>
              <w:left w:val="outset" w:color="auto" w:sz="6" w:space="0"/>
              <w:bottom w:val="outset" w:color="auto" w:sz="6" w:space="0"/>
              <w:right w:val="outset" w:color="auto" w:sz="6" w:space="0"/>
            </w:tcBorders>
            <w:vAlign w:val="center"/>
          </w:tcPr>
          <w:p w14:paraId="607878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此方法可导致动物痉挛、角弓反张和哀嚎</w:t>
            </w:r>
          </w:p>
        </w:tc>
      </w:tr>
      <w:tr w14:paraId="2A5C70B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C959C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击打头部</w:t>
            </w:r>
          </w:p>
        </w:tc>
        <w:tc>
          <w:tcPr>
            <w:tcW w:w="7363" w:type="dxa"/>
            <w:tcBorders>
              <w:top w:val="outset" w:color="auto" w:sz="6" w:space="0"/>
              <w:left w:val="outset" w:color="auto" w:sz="6" w:space="0"/>
              <w:bottom w:val="outset" w:color="auto" w:sz="6" w:space="0"/>
              <w:right w:val="outset" w:color="auto" w:sz="6" w:space="0"/>
            </w:tcBorders>
            <w:vAlign w:val="center"/>
          </w:tcPr>
          <w:p w14:paraId="529E9F9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对于大多数动物均不是可接受的安乐死方法</w:t>
            </w:r>
          </w:p>
        </w:tc>
      </w:tr>
      <w:tr w14:paraId="744F554E">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75C09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烧死</w:t>
            </w:r>
          </w:p>
        </w:tc>
        <w:tc>
          <w:tcPr>
            <w:tcW w:w="7363" w:type="dxa"/>
            <w:tcBorders>
              <w:top w:val="outset" w:color="auto" w:sz="6" w:space="0"/>
              <w:left w:val="outset" w:color="auto" w:sz="6" w:space="0"/>
              <w:bottom w:val="outset" w:color="auto" w:sz="6" w:space="0"/>
              <w:right w:val="outset" w:color="auto" w:sz="6" w:space="0"/>
            </w:tcBorders>
            <w:vAlign w:val="center"/>
          </w:tcPr>
          <w:p w14:paraId="60D8B2C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对于大多数动物均不是可接受的安乐死方法</w:t>
            </w:r>
          </w:p>
        </w:tc>
      </w:tr>
      <w:tr w14:paraId="08C5E7E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228889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水合氯醛（Chloral Hydrate）</w:t>
            </w:r>
          </w:p>
        </w:tc>
        <w:tc>
          <w:tcPr>
            <w:tcW w:w="7363" w:type="dxa"/>
            <w:tcBorders>
              <w:top w:val="outset" w:color="auto" w:sz="6" w:space="0"/>
              <w:left w:val="outset" w:color="auto" w:sz="6" w:space="0"/>
              <w:bottom w:val="outset" w:color="auto" w:sz="6" w:space="0"/>
              <w:right w:val="outset" w:color="auto" w:sz="6" w:space="0"/>
            </w:tcBorders>
            <w:vAlign w:val="center"/>
          </w:tcPr>
          <w:p w14:paraId="6B0DBAD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狗、猫以及小型哺乳动物不允许用此方法</w:t>
            </w:r>
          </w:p>
        </w:tc>
      </w:tr>
      <w:tr w14:paraId="6E817B04">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2B5E77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氯仿（Chloroform）</w:t>
            </w:r>
          </w:p>
        </w:tc>
        <w:tc>
          <w:tcPr>
            <w:tcW w:w="7363" w:type="dxa"/>
            <w:tcBorders>
              <w:top w:val="outset" w:color="auto" w:sz="6" w:space="0"/>
              <w:left w:val="outset" w:color="auto" w:sz="6" w:space="0"/>
              <w:bottom w:val="outset" w:color="auto" w:sz="6" w:space="0"/>
              <w:right w:val="outset" w:color="auto" w:sz="6" w:space="0"/>
            </w:tcBorders>
            <w:vAlign w:val="center"/>
          </w:tcPr>
          <w:p w14:paraId="6218DA7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具有肝毒性和潜在的致癌性，对人体有害</w:t>
            </w:r>
          </w:p>
        </w:tc>
      </w:tr>
      <w:tr w14:paraId="445FFCD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785931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氰化物（Cyanide）</w:t>
            </w:r>
          </w:p>
        </w:tc>
        <w:tc>
          <w:tcPr>
            <w:tcW w:w="7363" w:type="dxa"/>
            <w:tcBorders>
              <w:top w:val="outset" w:color="auto" w:sz="6" w:space="0"/>
              <w:left w:val="outset" w:color="auto" w:sz="6" w:space="0"/>
              <w:bottom w:val="outset" w:color="auto" w:sz="6" w:space="0"/>
              <w:right w:val="outset" w:color="auto" w:sz="6" w:space="0"/>
            </w:tcBorders>
            <w:vAlign w:val="center"/>
          </w:tcPr>
          <w:p w14:paraId="10C72EE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对人体有极大危害</w:t>
            </w:r>
          </w:p>
        </w:tc>
      </w:tr>
      <w:tr w14:paraId="174707FD">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17457B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减压法（Decompression）</w:t>
            </w:r>
          </w:p>
        </w:tc>
        <w:tc>
          <w:tcPr>
            <w:tcW w:w="7363" w:type="dxa"/>
            <w:tcBorders>
              <w:top w:val="outset" w:color="auto" w:sz="6" w:space="0"/>
              <w:left w:val="outset" w:color="auto" w:sz="6" w:space="0"/>
              <w:bottom w:val="outset" w:color="auto" w:sz="6" w:space="0"/>
              <w:right w:val="outset" w:color="auto" w:sz="6" w:space="0"/>
            </w:tcBorders>
            <w:vAlign w:val="center"/>
          </w:tcPr>
          <w:p w14:paraId="5754FD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导致动物痛苦，濒死时间延长；2. 年幼动物耐缺氧状态，达到呼吸停止需较长时间；</w:t>
            </w:r>
          </w:p>
          <w:p w14:paraId="72A0A0D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偶发动物苏醒的意外状况；4. 会导致动物出血、呕吐、痉挛、排尿或排便等现象</w:t>
            </w:r>
          </w:p>
        </w:tc>
      </w:tr>
      <w:tr w14:paraId="23633DA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1B0A2B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窒息</w:t>
            </w:r>
          </w:p>
        </w:tc>
        <w:tc>
          <w:tcPr>
            <w:tcW w:w="7363" w:type="dxa"/>
            <w:tcBorders>
              <w:top w:val="outset" w:color="auto" w:sz="6" w:space="0"/>
              <w:left w:val="outset" w:color="auto" w:sz="6" w:space="0"/>
              <w:bottom w:val="outset" w:color="auto" w:sz="6" w:space="0"/>
              <w:right w:val="outset" w:color="auto" w:sz="6" w:space="0"/>
            </w:tcBorders>
            <w:vAlign w:val="center"/>
          </w:tcPr>
          <w:p w14:paraId="7023AAF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将动物放入袋子或密闭容器内窒息死亡是不人道的方法</w:t>
            </w:r>
          </w:p>
        </w:tc>
      </w:tr>
      <w:tr w14:paraId="0E5DDF2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141A4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溺毙</w:t>
            </w:r>
          </w:p>
        </w:tc>
        <w:tc>
          <w:tcPr>
            <w:tcW w:w="7363" w:type="dxa"/>
            <w:tcBorders>
              <w:top w:val="outset" w:color="auto" w:sz="6" w:space="0"/>
              <w:left w:val="outset" w:color="auto" w:sz="6" w:space="0"/>
              <w:bottom w:val="outset" w:color="auto" w:sz="6" w:space="0"/>
              <w:right w:val="outset" w:color="auto" w:sz="6" w:space="0"/>
            </w:tcBorders>
            <w:vAlign w:val="center"/>
          </w:tcPr>
          <w:p w14:paraId="3E6045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不人道，非安乐死的方法</w:t>
            </w:r>
          </w:p>
        </w:tc>
      </w:tr>
      <w:tr w14:paraId="3E63465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4247BF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放血致死</w:t>
            </w:r>
          </w:p>
        </w:tc>
        <w:tc>
          <w:tcPr>
            <w:tcW w:w="7363" w:type="dxa"/>
            <w:tcBorders>
              <w:top w:val="outset" w:color="auto" w:sz="6" w:space="0"/>
              <w:left w:val="outset" w:color="auto" w:sz="6" w:space="0"/>
              <w:bottom w:val="outset" w:color="auto" w:sz="6" w:space="0"/>
              <w:right w:val="outset" w:color="auto" w:sz="6" w:space="0"/>
            </w:tcBorders>
            <w:vAlign w:val="center"/>
          </w:tcPr>
          <w:p w14:paraId="5591332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大量失血可导致动物的焦虑和痛苦，因此放血致死法仅用于动物已镇静、晕倒或麻醉后使用</w:t>
            </w:r>
          </w:p>
        </w:tc>
      </w:tr>
      <w:tr w14:paraId="34C727E2">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018D564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低温致死</w:t>
            </w:r>
          </w:p>
        </w:tc>
        <w:tc>
          <w:tcPr>
            <w:tcW w:w="7363" w:type="dxa"/>
            <w:tcBorders>
              <w:top w:val="outset" w:color="auto" w:sz="6" w:space="0"/>
              <w:left w:val="outset" w:color="auto" w:sz="6" w:space="0"/>
              <w:bottom w:val="outset" w:color="auto" w:sz="6" w:space="0"/>
              <w:right w:val="outset" w:color="auto" w:sz="6" w:space="0"/>
            </w:tcBorders>
            <w:vAlign w:val="center"/>
          </w:tcPr>
          <w:p w14:paraId="263405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不人道，非安乐死的方法</w:t>
            </w:r>
          </w:p>
        </w:tc>
      </w:tr>
      <w:tr w14:paraId="43A58369">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5751C6A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快速冷冻</w:t>
            </w:r>
          </w:p>
        </w:tc>
        <w:tc>
          <w:tcPr>
            <w:tcW w:w="7363" w:type="dxa"/>
            <w:tcBorders>
              <w:top w:val="outset" w:color="auto" w:sz="6" w:space="0"/>
              <w:left w:val="outset" w:color="auto" w:sz="6" w:space="0"/>
              <w:bottom w:val="outset" w:color="auto" w:sz="6" w:space="0"/>
              <w:right w:val="outset" w:color="auto" w:sz="6" w:space="0"/>
            </w:tcBorders>
            <w:vAlign w:val="center"/>
          </w:tcPr>
          <w:p w14:paraId="773EEA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单一使用此方法不人道，如因实验所需选用此方法，动物必须先进入深度麻醉状态</w:t>
            </w:r>
          </w:p>
        </w:tc>
      </w:tr>
      <w:tr w14:paraId="467C890A">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FAF1D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福尔马林浸泡</w:t>
            </w:r>
          </w:p>
        </w:tc>
        <w:tc>
          <w:tcPr>
            <w:tcW w:w="7363" w:type="dxa"/>
            <w:tcBorders>
              <w:top w:val="outset" w:color="auto" w:sz="6" w:space="0"/>
              <w:left w:val="outset" w:color="auto" w:sz="6" w:space="0"/>
              <w:bottom w:val="outset" w:color="auto" w:sz="6" w:space="0"/>
              <w:right w:val="outset" w:color="auto" w:sz="6" w:space="0"/>
            </w:tcBorders>
            <w:vAlign w:val="center"/>
          </w:tcPr>
          <w:p w14:paraId="3C132B9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直接将动物浸泡于福尔马林是不人道的方法</w:t>
            </w:r>
          </w:p>
        </w:tc>
      </w:tr>
      <w:tr w14:paraId="555C5963">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2A213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神经肌肉阻断剂</w:t>
            </w:r>
          </w:p>
        </w:tc>
        <w:tc>
          <w:tcPr>
            <w:tcW w:w="7363" w:type="dxa"/>
            <w:tcBorders>
              <w:top w:val="outset" w:color="auto" w:sz="6" w:space="0"/>
              <w:left w:val="outset" w:color="auto" w:sz="6" w:space="0"/>
              <w:bottom w:val="outset" w:color="auto" w:sz="6" w:space="0"/>
              <w:right w:val="outset" w:color="auto" w:sz="6" w:space="0"/>
            </w:tcBorders>
            <w:vAlign w:val="center"/>
          </w:tcPr>
          <w:p w14:paraId="0EC5CD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如尼古丁、硫酸镁、氯化钾等这类药物在单独使用时，会导致动物于呼吸抑制（暂停）后才失去意识，因此动物在无法动弹后还要遭受一段时间的痛苦</w:t>
            </w:r>
          </w:p>
        </w:tc>
      </w:tr>
      <w:tr w14:paraId="06BF902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52DE0D5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士的宁（Strychnine）</w:t>
            </w:r>
          </w:p>
        </w:tc>
        <w:tc>
          <w:tcPr>
            <w:tcW w:w="7363" w:type="dxa"/>
            <w:tcBorders>
              <w:top w:val="outset" w:color="auto" w:sz="6" w:space="0"/>
              <w:left w:val="outset" w:color="auto" w:sz="6" w:space="0"/>
              <w:bottom w:val="outset" w:color="auto" w:sz="6" w:space="0"/>
              <w:right w:val="outset" w:color="auto" w:sz="6" w:space="0"/>
            </w:tcBorders>
            <w:vAlign w:val="center"/>
          </w:tcPr>
          <w:p w14:paraId="2BB2D5C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毒鼠药的成分，可造成动物的剧烈痉挛、痛苦的肌肉抽搐</w:t>
            </w:r>
          </w:p>
        </w:tc>
      </w:tr>
    </w:tbl>
    <w:p w14:paraId="2B41AE67">
      <w:pPr>
        <w:ind w:firstLine="420" w:firstLineChars="200"/>
        <w:rPr>
          <w:rFonts w:hint="eastAsia" w:ascii="宋体" w:hAnsi="宋体" w:eastAsia="宋体" w:cs="宋体"/>
          <w:b w:val="0"/>
          <w:bCs w:val="0"/>
          <w:sz w:val="21"/>
          <w:szCs w:val="21"/>
        </w:rPr>
      </w:pPr>
    </w:p>
    <w:p w14:paraId="3A4F4191">
      <w:pPr>
        <w:rPr>
          <w:rFonts w:hint="eastAsia" w:ascii="宋体" w:hAnsi="宋体" w:eastAsia="宋体" w:cs="宋体"/>
          <w:b w:val="0"/>
          <w:bCs w:val="0"/>
          <w:sz w:val="21"/>
          <w:szCs w:val="21"/>
        </w:rPr>
      </w:pPr>
      <w:r>
        <w:rPr>
          <w:rFonts w:hint="eastAsia" w:ascii="宋体" w:hAnsi="宋体" w:eastAsia="宋体" w:cs="宋体"/>
          <w:b w:val="0"/>
          <w:bCs w:val="0"/>
          <w:sz w:val="21"/>
          <w:szCs w:val="21"/>
        </w:rPr>
        <w:t>五、各种安乐死方法的具体介绍</w:t>
      </w:r>
    </w:p>
    <w:p w14:paraId="0D931D2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方法的选择取决于动物品种、大小、温驯程度、对疼痛与应激的耐受度、保定方法、研究方案中是否需要采集组织样品等。适当的物理保定方法不仅可降低动物的恐惧、焦虑及疼痛，并可保障操作人员的安全。另外，人员的技术、动物的数量同样是安乐死程序能否顺利完成的重要因素。导致动物死亡的机制有：（1）直接或间接的缺氧；（2）直接使脑神经失去机能；（3）物理性破坏脑神经，终止脑活动</w:t>
      </w:r>
    </w:p>
    <w:p w14:paraId="5FD189CD">
      <w:pPr>
        <w:rPr>
          <w:rFonts w:hint="eastAsia" w:ascii="宋体" w:hAnsi="宋体" w:eastAsia="宋体" w:cs="宋体"/>
          <w:b w:val="0"/>
          <w:bCs w:val="0"/>
          <w:sz w:val="21"/>
          <w:szCs w:val="21"/>
        </w:rPr>
      </w:pPr>
      <w:r>
        <w:rPr>
          <w:rFonts w:hint="eastAsia" w:ascii="宋体" w:hAnsi="宋体" w:eastAsia="宋体" w:cs="宋体"/>
          <w:b w:val="0"/>
          <w:bCs w:val="0"/>
          <w:sz w:val="21"/>
          <w:szCs w:val="21"/>
        </w:rPr>
        <w:t>（一）安乐死药物与方法</w:t>
      </w:r>
    </w:p>
    <w:p w14:paraId="04A05F42">
      <w:pPr>
        <w:rPr>
          <w:rFonts w:hint="eastAsia" w:ascii="宋体" w:hAnsi="宋体" w:eastAsia="宋体" w:cs="宋体"/>
          <w:b w:val="0"/>
          <w:bCs w:val="0"/>
          <w:sz w:val="21"/>
          <w:szCs w:val="21"/>
        </w:rPr>
      </w:pPr>
      <w:r>
        <w:rPr>
          <w:rFonts w:hint="eastAsia" w:ascii="宋体" w:hAnsi="宋体" w:eastAsia="宋体" w:cs="宋体"/>
          <w:b w:val="0"/>
          <w:bCs w:val="0"/>
          <w:sz w:val="21"/>
          <w:szCs w:val="21"/>
        </w:rPr>
        <w:t>1、吸入性药物</w:t>
      </w:r>
    </w:p>
    <w:p w14:paraId="17731C07">
      <w:pPr>
        <w:rPr>
          <w:rFonts w:hint="eastAsia" w:ascii="宋体" w:hAnsi="宋体" w:eastAsia="宋体" w:cs="宋体"/>
          <w:b w:val="0"/>
          <w:bCs w:val="0"/>
          <w:sz w:val="21"/>
          <w:szCs w:val="21"/>
        </w:rPr>
      </w:pPr>
      <w:r>
        <w:rPr>
          <w:rFonts w:hint="eastAsia" w:ascii="宋体" w:hAnsi="宋体" w:eastAsia="宋体" w:cs="宋体"/>
          <w:b w:val="0"/>
          <w:bCs w:val="0"/>
          <w:sz w:val="21"/>
          <w:szCs w:val="21"/>
        </w:rPr>
        <w:t>1）常用药物有halothane（氟烷）, isoflurane（异氟烷）, enflurane（恩氟烷）, sevoflurane（七氟烷）, 乙醚等</w:t>
      </w:r>
    </w:p>
    <w:p w14:paraId="08D49C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吸入性药物通过汽化器或密闭容器进入动物体内，因此须具有相关的设备，密闭容器应透明以便观察动物。大部分情况下，动物快速暴露于高浓度药物中时可快速失去知觉。多数吸入性药物对人体有害，如乙醚具有易爆性、氟烷有肝损伤性、氮气和一氧化碳易导致人体缺氧、一氧化氮易致成瘾等，因此，应在通风良好的场所执行安乐死操作。刚出生的幼崽对缺氧环境的耐受度高，因此须较长的吸入时间。使用吸入性药物执行安乐死时，容器内装入的动物勿过度拥挤，且勿同时混入不同品种的动物，以免造成动物死亡前的紧张和恐惧。爬虫类、两栖类、禽类和兔子善于憋气，因此建议优先选择其他方法。</w:t>
      </w:r>
    </w:p>
    <w:tbl>
      <w:tblPr>
        <w:tblStyle w:val="14"/>
        <w:tblW w:w="8317" w:type="dxa"/>
        <w:tblInd w:w="-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71"/>
        <w:gridCol w:w="7346"/>
      </w:tblGrid>
      <w:tr w14:paraId="13736F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00B2D31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346" w:type="dxa"/>
            <w:tcBorders>
              <w:top w:val="outset" w:color="auto" w:sz="6" w:space="0"/>
              <w:left w:val="outset" w:color="auto" w:sz="6" w:space="0"/>
              <w:bottom w:val="outset" w:color="auto" w:sz="6" w:space="0"/>
              <w:right w:val="outset" w:color="auto" w:sz="6" w:space="0"/>
            </w:tcBorders>
            <w:vAlign w:val="center"/>
          </w:tcPr>
          <w:p w14:paraId="67591CD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对于体重小于7公斤或难以注射的动物具有良好适用性。</w:t>
            </w:r>
          </w:p>
          <w:p w14:paraId="60B4CE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氟烷、异氟烷、恩氟烷和七氟烷在一般环境条件下无易燃易爆性。</w:t>
            </w:r>
          </w:p>
        </w:tc>
      </w:tr>
      <w:tr w14:paraId="014775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4E9508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346" w:type="dxa"/>
            <w:tcBorders>
              <w:top w:val="outset" w:color="auto" w:sz="6" w:space="0"/>
              <w:left w:val="outset" w:color="auto" w:sz="6" w:space="0"/>
              <w:bottom w:val="outset" w:color="auto" w:sz="6" w:space="0"/>
              <w:right w:val="outset" w:color="auto" w:sz="6" w:space="0"/>
            </w:tcBorders>
            <w:vAlign w:val="center"/>
          </w:tcPr>
          <w:p w14:paraId="467502F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由于汽化的麻醉剂有刺激性，麻醉诱导期动物可能出现挣扎及焦虑。</w:t>
            </w:r>
          </w:p>
          <w:p w14:paraId="11FF114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乙醚具有易燃易爆性，不建议使用。如研究者已选择使用乙醚进行动物安乐死时，必须提出合理的科学需求及依据由实验动物伦理福利委员会评估，仅在具备科学研究的必要性及确认无其他替代方法时，经伦理委员会批准后方可执行。操作过程须全程在通风橱内操作，操作后也必须将动物尸体置于防爆冰柜内。</w:t>
            </w:r>
          </w:p>
        </w:tc>
      </w:tr>
      <w:tr w14:paraId="2B354B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2D721C7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346" w:type="dxa"/>
            <w:tcBorders>
              <w:top w:val="outset" w:color="auto" w:sz="6" w:space="0"/>
              <w:left w:val="outset" w:color="auto" w:sz="6" w:space="0"/>
              <w:bottom w:val="outset" w:color="auto" w:sz="6" w:space="0"/>
              <w:right w:val="outset" w:color="auto" w:sz="6" w:space="0"/>
            </w:tcBorders>
            <w:vAlign w:val="center"/>
          </w:tcPr>
          <w:p w14:paraId="0DB9D61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对于体重小于7kg的动物使用氟烷、异氟烷、恩氟烷和七氟烷等安乐死药物。以低浓度诱导麻醉后转入高浓度（5%），使动物迅速失去意识。</w:t>
            </w:r>
          </w:p>
          <w:p w14:paraId="2D5741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乙醚须在严格控制的条件下使用。</w:t>
            </w:r>
          </w:p>
          <w:p w14:paraId="076B62F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一氧化氮不应单独使用</w:t>
            </w:r>
          </w:p>
          <w:p w14:paraId="3DC0DE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大型动物，除特殊情况之外，不建议使用吸入麻醉做安乐死。</w:t>
            </w:r>
          </w:p>
        </w:tc>
      </w:tr>
    </w:tbl>
    <w:p w14:paraId="0FDDCD6E">
      <w:pPr>
        <w:rPr>
          <w:rFonts w:hint="eastAsia" w:ascii="宋体" w:hAnsi="宋体" w:eastAsia="宋体" w:cs="宋体"/>
          <w:b w:val="0"/>
          <w:bCs w:val="0"/>
          <w:sz w:val="21"/>
          <w:szCs w:val="21"/>
        </w:rPr>
      </w:pPr>
      <w:r>
        <w:rPr>
          <w:rFonts w:hint="eastAsia" w:ascii="宋体" w:hAnsi="宋体" w:eastAsia="宋体" w:cs="宋体"/>
          <w:b w:val="0"/>
          <w:bCs w:val="0"/>
          <w:sz w:val="21"/>
          <w:szCs w:val="21"/>
        </w:rPr>
        <w:t>2）二氧化碳</w:t>
      </w:r>
    </w:p>
    <w:p w14:paraId="4B1E9E8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空气中含有0.04%二氧化碳，较空气重，无色、无味。吸入浓度于7.5%时动物疼痛阈值上升，越高的二氧化碳浓度有越快的麻醉效果，但也有研究表明快速暴露于高浓度二氧化碳时可能导致动物的痛苦。</w:t>
      </w:r>
    </w:p>
    <w:p w14:paraId="4D359B6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出生一天的雏鸡用二氧化碳安乐死效果良好，于禽类则可造成不同程度的痛苦，通常可于五分钟内达到死亡。由于禽蛋在胚胎发育时即开始呼吸，未孵化的蛋内有14%的二氧化碳，因此，对于雏鸡和其他出生幼崽，应使用高浓度的二氧化碳进行安乐死。啮齿类动物于其饲养笼内吸入二氧化碳安乐死可有助于减少动物紧张和痛苦。</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71"/>
        <w:gridCol w:w="7243"/>
      </w:tblGrid>
      <w:tr w14:paraId="5963BB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1FBB9B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243" w:type="dxa"/>
            <w:tcBorders>
              <w:top w:val="outset" w:color="auto" w:sz="6" w:space="0"/>
              <w:left w:val="outset" w:color="auto" w:sz="6" w:space="0"/>
              <w:bottom w:val="outset" w:color="auto" w:sz="6" w:space="0"/>
              <w:right w:val="outset" w:color="auto" w:sz="6" w:space="0"/>
            </w:tcBorders>
            <w:vAlign w:val="center"/>
          </w:tcPr>
          <w:p w14:paraId="7B45DB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快速镇静、止痛、麻醉效果明显。</w:t>
            </w:r>
          </w:p>
          <w:p w14:paraId="421578B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高压瓶装二氧化碳容易获取，容易使用、价格便宜，无易燃易爆危险，无异味，在通风良好的场所配合适当设备使用时，较其他药物安全性更高。</w:t>
            </w:r>
          </w:p>
          <w:p w14:paraId="4CC5C0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对于大小鼠使用二氧化碳安乐死后，不会改变胆碱酯酶或皮质酮的浓度。</w:t>
            </w:r>
          </w:p>
        </w:tc>
      </w:tr>
      <w:tr w14:paraId="186E2F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622D83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43" w:type="dxa"/>
            <w:tcBorders>
              <w:top w:val="outset" w:color="auto" w:sz="6" w:space="0"/>
              <w:left w:val="outset" w:color="auto" w:sz="6" w:space="0"/>
              <w:bottom w:val="outset" w:color="auto" w:sz="6" w:space="0"/>
              <w:right w:val="outset" w:color="auto" w:sz="6" w:space="0"/>
            </w:tcBorders>
            <w:vAlign w:val="center"/>
          </w:tcPr>
          <w:p w14:paraId="072B45F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由于二氧化碳较空气重，容器内未灌满时动物往往将头部抬高而难以迅速死亡。</w:t>
            </w:r>
          </w:p>
          <w:p w14:paraId="2226C10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有些品种的动物，如穴居鱼类、水生哺乳类、新生啮齿类动物对二氧化碳的耐受度非常高，而两栖类和爬虫类动物打的呼吸频率较低，往往无法有效吸入足量的二氧化碳，导致长时间操作才能完成安乐死。</w:t>
            </w:r>
          </w:p>
          <w:p w14:paraId="43C931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以低于80%的二氧化碳诱导动物失去知觉时，可能对呼吸道产生刺激，但过高浓度的二氧化碳可能对部分动物造成痛苦。</w:t>
            </w:r>
          </w:p>
        </w:tc>
      </w:tr>
      <w:tr w14:paraId="44F8E7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5620448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43" w:type="dxa"/>
            <w:tcBorders>
              <w:top w:val="outset" w:color="auto" w:sz="6" w:space="0"/>
              <w:left w:val="outset" w:color="auto" w:sz="6" w:space="0"/>
              <w:bottom w:val="outset" w:color="auto" w:sz="6" w:space="0"/>
              <w:right w:val="outset" w:color="auto" w:sz="6" w:space="0"/>
            </w:tcBorders>
            <w:vAlign w:val="center"/>
          </w:tcPr>
          <w:p w14:paraId="2EF17D0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对于特定品种的动物，宜采用二氧化碳进行安乐死。高压瓶装的二氧化碳是唯一建议使用的设备，不推荐使用干冰或其他化学方法制造二氧化碳。</w:t>
            </w:r>
          </w:p>
          <w:p w14:paraId="01575A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动物装入容器内时，不可过度拥挤，且不可同时混入不同品种的动物。</w:t>
            </w:r>
          </w:p>
          <w:p w14:paraId="0F3D86F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以低浓度诱导后转入高浓度，使动物迅速失去意识。当动物呈现死亡状态后再持续灌注气体至少数分钟，将动物从安乐死容器内取出前必须确认动物死亡。如动物未死亡，则立即使用其他方法（如颈椎脱臼、断头、开胸）对动物进行安乐死。</w:t>
            </w:r>
          </w:p>
          <w:p w14:paraId="466FAA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非吸入性药物</w:t>
            </w:r>
          </w:p>
        </w:tc>
      </w:tr>
    </w:tbl>
    <w:p w14:paraId="26D711ED">
      <w:pPr>
        <w:rPr>
          <w:rFonts w:hint="eastAsia" w:ascii="宋体" w:hAnsi="宋体" w:eastAsia="宋体" w:cs="宋体"/>
          <w:b w:val="0"/>
          <w:bCs w:val="0"/>
          <w:sz w:val="21"/>
          <w:szCs w:val="21"/>
        </w:rPr>
      </w:pPr>
      <w:r>
        <w:rPr>
          <w:rFonts w:hint="eastAsia" w:ascii="宋体" w:hAnsi="宋体" w:eastAsia="宋体" w:cs="宋体"/>
          <w:b w:val="0"/>
          <w:bCs w:val="0"/>
          <w:sz w:val="21"/>
          <w:szCs w:val="21"/>
        </w:rPr>
        <w:t>2、非吸入性药物</w:t>
      </w:r>
    </w:p>
    <w:p w14:paraId="23D782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多数为注射性药物，此方法可以使动物迅速死亡，使非常可靠的动物安乐死方法。须注意的是操作中避免动物遭受痛苦或恐惧，而操作人员也必须充分掌握各种给药操作。注射性药物有多种给药方法，其中静脉注射是最佳选择。药物注射前，操作人员须评估动物是否出现精神亢奋或难以控制的状态，必要时应先给予镇静剂或止痛药物，以降低动物的紧张或痛苦，并保障操作人员的安全。如动物已表现出垂死、休克或深度麻醉状态，难以顺利进行静脉注射时，可通过心脏注射。腹腔注射需使用较高剂量的药物，并且可能延长动物死亡时间，导致动物死前挣扎。因此腹腔注射后，将动物转移至小箱子或笼内，置于安静无干扰的场所。</w:t>
      </w:r>
    </w:p>
    <w:p w14:paraId="1DC93892">
      <w:pPr>
        <w:rPr>
          <w:rFonts w:hint="eastAsia" w:ascii="宋体" w:hAnsi="宋体" w:eastAsia="宋体" w:cs="宋体"/>
          <w:b w:val="0"/>
          <w:bCs w:val="0"/>
          <w:sz w:val="21"/>
          <w:szCs w:val="21"/>
        </w:rPr>
      </w:pPr>
      <w:r>
        <w:rPr>
          <w:rFonts w:hint="eastAsia" w:ascii="宋体" w:hAnsi="宋体" w:eastAsia="宋体" w:cs="宋体"/>
          <w:b w:val="0"/>
          <w:bCs w:val="0"/>
          <w:sz w:val="21"/>
          <w:szCs w:val="21"/>
        </w:rPr>
        <w:t>1）巴比妥类药物（Barbiturates）</w:t>
      </w:r>
    </w:p>
    <w:p w14:paraId="5664156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过量的巴比妥类药物经静脉注射给药是首选的动物安乐死方式，可抑制中枢神经反射，使动物失去知觉进入麻醉状态，过量的药物剂量可使动物停止呼吸，接着心跳停止。其中戊巴比妥钠（Pentobarbital Sodium）为最理想的动物安乐死药物，同样还有Beuthanasia-D (Burns-Biotec), Sleepaway (Fort Dodge Laboratories) 等商品化药物，但在国内，此类药物多为管制药品，获取较为困难。</w:t>
      </w:r>
    </w:p>
    <w:tbl>
      <w:tblPr>
        <w:tblStyle w:val="14"/>
        <w:tblW w:w="8356"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015"/>
        <w:gridCol w:w="7341"/>
      </w:tblGrid>
      <w:tr w14:paraId="016107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470B2A67">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341" w:type="dxa"/>
            <w:tcBorders>
              <w:top w:val="outset" w:color="auto" w:sz="6" w:space="0"/>
              <w:left w:val="outset" w:color="auto" w:sz="6" w:space="0"/>
              <w:bottom w:val="outset" w:color="auto" w:sz="6" w:space="0"/>
              <w:right w:val="outset" w:color="auto" w:sz="6" w:space="0"/>
            </w:tcBorders>
            <w:vAlign w:val="center"/>
          </w:tcPr>
          <w:p w14:paraId="1266809F">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起效迅速，效果依其剂量、浓度和给药方式不同。此药物可平稳的诱导并麻醉动物，也使动物的不适反应降到最低。</w:t>
            </w:r>
          </w:p>
        </w:tc>
      </w:tr>
      <w:tr w14:paraId="108B21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0256E13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341" w:type="dxa"/>
            <w:tcBorders>
              <w:top w:val="outset" w:color="auto" w:sz="6" w:space="0"/>
              <w:left w:val="outset" w:color="auto" w:sz="6" w:space="0"/>
              <w:bottom w:val="outset" w:color="auto" w:sz="6" w:space="0"/>
              <w:right w:val="outset" w:color="auto" w:sz="6" w:space="0"/>
            </w:tcBorders>
            <w:vAlign w:val="center"/>
          </w:tcPr>
          <w:p w14:paraId="5A0B071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为达到最佳效果，必须通过静脉注射给药。操作人员须具备不同品种动物静脉给药的技术，并且每只动物须单独保定后给药。</w:t>
            </w:r>
          </w:p>
          <w:p w14:paraId="741C22AE">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此药物也可能导致人为滥用，因此应向相关管理部门申请获得批准后使用。</w:t>
            </w:r>
          </w:p>
          <w:p w14:paraId="766B6192">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失去知觉的动物可能会出现麻醉性喘气反应，因此对于精神亢奋或难以控制的动物，须先给予适当的镇静药物，但经镇静后的动物由于循环减缓、心跳变慢，药物注射后的濒死时间比未经镇静的动物更长，此点须特别注意。</w:t>
            </w:r>
          </w:p>
        </w:tc>
      </w:tr>
      <w:tr w14:paraId="339C16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44983C52">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341" w:type="dxa"/>
            <w:tcBorders>
              <w:top w:val="outset" w:color="auto" w:sz="6" w:space="0"/>
              <w:left w:val="outset" w:color="auto" w:sz="6" w:space="0"/>
              <w:bottom w:val="outset" w:color="auto" w:sz="6" w:space="0"/>
              <w:right w:val="outset" w:color="auto" w:sz="6" w:space="0"/>
            </w:tcBorders>
            <w:vAlign w:val="center"/>
          </w:tcPr>
          <w:p w14:paraId="1F4EF866">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对于狗、猫、马、其他小型动物须经静脉注射给药，当静脉注射对动物造成痛苦或危险时可采取腹腔注射（不适用于犬及体型更大的哺乳动物）。心脏注射仅适用于深度麻醉后或失去意识的动物。</w:t>
            </w:r>
          </w:p>
        </w:tc>
      </w:tr>
    </w:tbl>
    <w:p w14:paraId="514C394F">
      <w:pPr>
        <w:rPr>
          <w:rFonts w:hint="eastAsia" w:ascii="宋体" w:hAnsi="宋体" w:eastAsia="宋体" w:cs="宋体"/>
          <w:b w:val="0"/>
          <w:bCs w:val="0"/>
          <w:sz w:val="21"/>
          <w:szCs w:val="21"/>
        </w:rPr>
      </w:pPr>
      <w:r>
        <w:rPr>
          <w:rFonts w:hint="eastAsia" w:ascii="宋体" w:hAnsi="宋体" w:eastAsia="宋体" w:cs="宋体"/>
          <w:b w:val="0"/>
          <w:bCs w:val="0"/>
          <w:sz w:val="21"/>
          <w:szCs w:val="21"/>
        </w:rPr>
        <w:t>2）水合氯醛 Chloral Hydrate</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59"/>
        <w:gridCol w:w="7255"/>
      </w:tblGrid>
      <w:tr w14:paraId="5FF636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08EDD1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55" w:type="dxa"/>
            <w:tcBorders>
              <w:top w:val="outset" w:color="auto" w:sz="6" w:space="0"/>
              <w:left w:val="outset" w:color="auto" w:sz="6" w:space="0"/>
              <w:bottom w:val="outset" w:color="auto" w:sz="6" w:space="0"/>
              <w:right w:val="outset" w:color="auto" w:sz="6" w:space="0"/>
            </w:tcBorders>
            <w:vAlign w:val="center"/>
          </w:tcPr>
          <w:p w14:paraId="2695E8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缓慢抑制大脑，逐步抑制呼吸中枢导致缺氧而使动物死亡。其过程中可能会导致动物喘气、肌肉痉挛和鸣叫。</w:t>
            </w:r>
          </w:p>
        </w:tc>
      </w:tr>
      <w:tr w14:paraId="0089B8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039DDB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55" w:type="dxa"/>
            <w:tcBorders>
              <w:top w:val="outset" w:color="auto" w:sz="6" w:space="0"/>
              <w:left w:val="outset" w:color="auto" w:sz="6" w:space="0"/>
              <w:bottom w:val="outset" w:color="auto" w:sz="6" w:space="0"/>
              <w:right w:val="outset" w:color="auto" w:sz="6" w:space="0"/>
            </w:tcBorders>
            <w:vAlign w:val="center"/>
          </w:tcPr>
          <w:p w14:paraId="59F3FEF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经伦理委员会批准后可用于大型动物的安乐死，动物须先经过药物镇定后再静脉注射水合氯醛。由于副作用大，不建议用于犬猫及小型哺乳动物</w:t>
            </w:r>
          </w:p>
        </w:tc>
      </w:tr>
    </w:tbl>
    <w:p w14:paraId="04284164">
      <w:pPr>
        <w:rPr>
          <w:rFonts w:hint="eastAsia" w:ascii="宋体" w:hAnsi="宋体" w:eastAsia="宋体" w:cs="宋体"/>
          <w:b w:val="0"/>
          <w:bCs w:val="0"/>
          <w:sz w:val="21"/>
          <w:szCs w:val="21"/>
        </w:rPr>
      </w:pPr>
      <w:r>
        <w:rPr>
          <w:rFonts w:hint="eastAsia" w:ascii="宋体" w:hAnsi="宋体" w:eastAsia="宋体" w:cs="宋体"/>
          <w:b w:val="0"/>
          <w:bCs w:val="0"/>
          <w:sz w:val="21"/>
          <w:szCs w:val="21"/>
        </w:rPr>
        <w:t>3、安乐死的物理方法</w:t>
      </w:r>
    </w:p>
    <w:p w14:paraId="17615A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包括颈椎脱臼、断头、放血、击晕枪、电击等。有些操作人员抗拒并排斥物理安乐死方法，但只要具备良好的技巧并配以适当的工具，物理方法能迅速解除动物的痛苦。如未受过训练的人员贸然实施物理方法，不仅易造成人员受伤，更可能使动物未完全死亡而导致极大痛苦。有些物理方法，如放血、击晕、脑髓穿刺等，不建议作为动物安乐死的单一方法，须配合其他方法共同使用。所有操作人员应接受完整的操作技术培训，并以尸体或模型多次练习后才可正式执行。</w:t>
      </w:r>
    </w:p>
    <w:p w14:paraId="0CCBF57E">
      <w:pPr>
        <w:rPr>
          <w:rFonts w:hint="eastAsia" w:ascii="宋体" w:hAnsi="宋体" w:eastAsia="宋体" w:cs="宋体"/>
          <w:b w:val="0"/>
          <w:bCs w:val="0"/>
          <w:sz w:val="21"/>
          <w:szCs w:val="21"/>
        </w:rPr>
      </w:pPr>
      <w:r>
        <w:rPr>
          <w:rFonts w:hint="eastAsia" w:ascii="宋体" w:hAnsi="宋体" w:eastAsia="宋体" w:cs="宋体"/>
          <w:b w:val="0"/>
          <w:bCs w:val="0"/>
          <w:sz w:val="21"/>
          <w:szCs w:val="21"/>
        </w:rPr>
        <w:t>1）颈椎脱臼法</w:t>
      </w:r>
    </w:p>
    <w:p w14:paraId="31361C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常用于啮齿类动物、禽类和仔兔。通过正确的操作技巧，人员可迅速将动物的颈椎与脊椎脱离，使动物死亡。对于小型啮齿类动物，利用硬杆或拇指、食指压住头颈部，另一只手抓住尾巴或后肢，迅速用力向后上方拉扯后驱，使颈椎脱臼。对于禽类，双手抓取脖颈扭断。对于仔兔，一手抓头部，另一手抓后肢，将身体迅速拉长，使颈椎脱臼。</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59"/>
        <w:gridCol w:w="7255"/>
      </w:tblGrid>
      <w:tr w14:paraId="56D7ED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c>
          <w:tcPr>
            <w:tcW w:w="959" w:type="dxa"/>
            <w:tcBorders>
              <w:top w:val="outset" w:color="auto" w:sz="6" w:space="0"/>
              <w:left w:val="outset" w:color="auto" w:sz="6" w:space="0"/>
              <w:bottom w:val="outset" w:color="auto" w:sz="6" w:space="0"/>
              <w:right w:val="outset" w:color="auto" w:sz="6" w:space="0"/>
            </w:tcBorders>
            <w:vAlign w:val="center"/>
          </w:tcPr>
          <w:p w14:paraId="24CD1EA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255" w:type="dxa"/>
            <w:tcBorders>
              <w:top w:val="outset" w:color="auto" w:sz="6" w:space="0"/>
              <w:left w:val="outset" w:color="auto" w:sz="6" w:space="0"/>
              <w:bottom w:val="outset" w:color="auto" w:sz="6" w:space="0"/>
              <w:right w:val="outset" w:color="auto" w:sz="6" w:space="0"/>
            </w:tcBorders>
            <w:vAlign w:val="center"/>
          </w:tcPr>
          <w:p w14:paraId="6C1E05F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能使动物快速失去意识，执行时间短，无化学药物影响机体组织。</w:t>
            </w:r>
          </w:p>
        </w:tc>
      </w:tr>
      <w:tr w14:paraId="7D30A8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34B9BC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55" w:type="dxa"/>
            <w:tcBorders>
              <w:top w:val="outset" w:color="auto" w:sz="6" w:space="0"/>
              <w:left w:val="outset" w:color="auto" w:sz="6" w:space="0"/>
              <w:bottom w:val="outset" w:color="auto" w:sz="6" w:space="0"/>
              <w:right w:val="outset" w:color="auto" w:sz="6" w:space="0"/>
            </w:tcBorders>
            <w:vAlign w:val="center"/>
          </w:tcPr>
          <w:p w14:paraId="547DE7C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可能造成执行者的心理负担。如操作手法不熟练，可无法使动物迅速死亡，反而对动物造成极大的痛苦。</w:t>
            </w:r>
          </w:p>
        </w:tc>
      </w:tr>
      <w:tr w14:paraId="40722E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4EB3E1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55" w:type="dxa"/>
            <w:tcBorders>
              <w:top w:val="outset" w:color="auto" w:sz="6" w:space="0"/>
              <w:left w:val="outset" w:color="auto" w:sz="6" w:space="0"/>
              <w:bottom w:val="outset" w:color="auto" w:sz="6" w:space="0"/>
              <w:right w:val="outset" w:color="auto" w:sz="6" w:space="0"/>
            </w:tcBorders>
            <w:vAlign w:val="center"/>
          </w:tcPr>
          <w:p w14:paraId="65D7A54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用于禽类、小鼠、体重低于200g大鼠、体重低于1kg兔子，且由技术熟练的人员进行操作，执行前动物必须经过诱导麻醉或镇静。</w:t>
            </w:r>
          </w:p>
          <w:p w14:paraId="1CECB8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如需对体重较重的动物执行颈椎脱臼、或未经麻醉或镇静直接采取本方法对动物进行安乐死时，必须提出合理的科研需求和充分的依据，由实验动物伦理福利委员会评估，仅在具备科学研究的必要性及确认无其他替代方法时，经伦理委员会批准后方可执行。</w:t>
            </w:r>
          </w:p>
        </w:tc>
      </w:tr>
    </w:tbl>
    <w:p w14:paraId="6100F1BB">
      <w:pPr>
        <w:rPr>
          <w:rFonts w:hint="eastAsia" w:ascii="宋体" w:hAnsi="宋体" w:eastAsia="宋体" w:cs="宋体"/>
          <w:b w:val="0"/>
          <w:bCs w:val="0"/>
          <w:sz w:val="21"/>
          <w:szCs w:val="21"/>
        </w:rPr>
      </w:pPr>
      <w:r>
        <w:rPr>
          <w:rFonts w:hint="eastAsia" w:ascii="宋体" w:hAnsi="宋体" w:eastAsia="宋体" w:cs="宋体"/>
          <w:b w:val="0"/>
          <w:bCs w:val="0"/>
          <w:sz w:val="21"/>
          <w:szCs w:val="21"/>
        </w:rPr>
        <w:t>2）断头法</w:t>
      </w:r>
    </w:p>
    <w:p w14:paraId="4302640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此方法仅适用于对小型啮齿类动物或仔兔的安乐死。此方法保证组织或体液无化学药物干扰，也可提供完整的脑部组织以供研究。断头后动物虽呈现约13-14s的脑部活性，但研究表明此时已无疼痛反应的传导，动物迅速失去意识。商品化的断头台（guillotine）可提供大鼠与仔兔的断头，而锐利的剪刀亦可用于200g以下小鼠的断头操作。</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026"/>
        <w:gridCol w:w="7188"/>
      </w:tblGrid>
      <w:tr w14:paraId="44E1ED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79DA0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188" w:type="dxa"/>
            <w:tcBorders>
              <w:top w:val="outset" w:color="auto" w:sz="6" w:space="0"/>
              <w:left w:val="outset" w:color="auto" w:sz="6" w:space="0"/>
              <w:bottom w:val="outset" w:color="auto" w:sz="6" w:space="0"/>
              <w:right w:val="outset" w:color="auto" w:sz="6" w:space="0"/>
            </w:tcBorders>
            <w:vAlign w:val="center"/>
          </w:tcPr>
          <w:p w14:paraId="3C55DBE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使动物快速失去意识，无化学药物污染生物组织。</w:t>
            </w:r>
          </w:p>
        </w:tc>
      </w:tr>
      <w:tr w14:paraId="26CCEA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2A6FBD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188" w:type="dxa"/>
            <w:tcBorders>
              <w:top w:val="outset" w:color="auto" w:sz="6" w:space="0"/>
              <w:left w:val="outset" w:color="auto" w:sz="6" w:space="0"/>
              <w:bottom w:val="outset" w:color="auto" w:sz="6" w:space="0"/>
              <w:right w:val="outset" w:color="auto" w:sz="6" w:space="0"/>
            </w:tcBorders>
            <w:vAlign w:val="center"/>
          </w:tcPr>
          <w:p w14:paraId="1BB5C17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抓取及保定动物至断头台可能导致动物紧张，也易造成操作人员的不适感，因此需接受完整的技术培训。</w:t>
            </w:r>
          </w:p>
        </w:tc>
      </w:tr>
      <w:tr w14:paraId="34DCAF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1E3C92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188" w:type="dxa"/>
            <w:tcBorders>
              <w:top w:val="outset" w:color="auto" w:sz="6" w:space="0"/>
              <w:left w:val="outset" w:color="auto" w:sz="6" w:space="0"/>
              <w:bottom w:val="outset" w:color="auto" w:sz="6" w:space="0"/>
              <w:right w:val="outset" w:color="auto" w:sz="6" w:space="0"/>
            </w:tcBorders>
            <w:vAlign w:val="center"/>
          </w:tcPr>
          <w:p w14:paraId="14CFE9A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使用本方法进行动物安乐死时，须具备科学研究的必要性，由实验动物伦理福利委员会批准后方可执行。</w:t>
            </w:r>
          </w:p>
          <w:p w14:paraId="07441D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需注意保持断头台刀刃的锋利度，每次使用后彻底清洗残留的血迹和气味。</w:t>
            </w:r>
          </w:p>
          <w:p w14:paraId="5B3C56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操作人员保定动物的手法需轻柔，快速将头颈连接处砍断。执行本方法的操作人员须经过完整的技术培训。</w:t>
            </w:r>
          </w:p>
        </w:tc>
      </w:tr>
    </w:tbl>
    <w:p w14:paraId="67DEDA7D">
      <w:pPr>
        <w:rPr>
          <w:rFonts w:hint="eastAsia" w:ascii="宋体" w:hAnsi="宋体" w:eastAsia="宋体" w:cs="宋体"/>
          <w:b w:val="0"/>
          <w:bCs w:val="0"/>
          <w:sz w:val="21"/>
          <w:szCs w:val="21"/>
        </w:rPr>
      </w:pPr>
      <w:r>
        <w:rPr>
          <w:rFonts w:hint="eastAsia" w:ascii="宋体" w:hAnsi="宋体" w:eastAsia="宋体" w:cs="宋体"/>
          <w:b w:val="0"/>
          <w:bCs w:val="0"/>
          <w:sz w:val="21"/>
          <w:szCs w:val="21"/>
        </w:rPr>
        <w:t>3）放血法</w:t>
      </w:r>
    </w:p>
    <w:p w14:paraId="6B70E99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已经失去意识或击晕后的动物，配合放血方法可确保动物完全死亡。由于大量失血，动物会表现出焦虑和痛苦，因此放血不可作为安乐死的单一方法。如因研究所需采集动物血液，必须先击晕或麻醉动物后执行，且避免放血不完全导致动物苏醒。</w:t>
      </w:r>
    </w:p>
    <w:p w14:paraId="2595BB47">
      <w:pPr>
        <w:rPr>
          <w:rFonts w:hint="eastAsia" w:ascii="宋体" w:hAnsi="宋体" w:eastAsia="宋体" w:cs="宋体"/>
          <w:b w:val="0"/>
          <w:bCs w:val="0"/>
          <w:sz w:val="21"/>
          <w:szCs w:val="21"/>
        </w:rPr>
      </w:pPr>
      <w:r>
        <w:rPr>
          <w:rFonts w:hint="eastAsia" w:ascii="宋体" w:hAnsi="宋体" w:eastAsia="宋体" w:cs="宋体"/>
          <w:b w:val="0"/>
          <w:bCs w:val="0"/>
          <w:sz w:val="21"/>
          <w:szCs w:val="21"/>
        </w:rPr>
        <w:t>六、执行安乐死前后的注意事项</w:t>
      </w:r>
    </w:p>
    <w:p w14:paraId="7C3E680F">
      <w:pPr>
        <w:rPr>
          <w:rFonts w:hint="eastAsia" w:ascii="宋体" w:hAnsi="宋体" w:eastAsia="宋体" w:cs="宋体"/>
          <w:b w:val="0"/>
          <w:bCs w:val="0"/>
          <w:sz w:val="21"/>
          <w:szCs w:val="21"/>
        </w:rPr>
      </w:pPr>
      <w:r>
        <w:rPr>
          <w:rFonts w:hint="eastAsia" w:ascii="宋体" w:hAnsi="宋体" w:eastAsia="宋体" w:cs="宋体"/>
          <w:b w:val="0"/>
          <w:bCs w:val="0"/>
          <w:sz w:val="21"/>
          <w:szCs w:val="21"/>
        </w:rPr>
        <w:t>1、 避免造成存活动物的恐惧</w:t>
      </w:r>
    </w:p>
    <w:p w14:paraId="012AFC6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的应激性叫声和惊恐行为、或令动物惊恐的气味等，都会引起动物的焦虑、不安和应激，这些因素会影响存活动物的身心健康和福利，干扰实验结果。因此，动物安乐死时应在远离存活动物的非公开场所执行。</w:t>
      </w:r>
    </w:p>
    <w:p w14:paraId="692236D0">
      <w:pPr>
        <w:rPr>
          <w:rFonts w:hint="eastAsia" w:ascii="宋体" w:hAnsi="宋体" w:eastAsia="宋体" w:cs="宋体"/>
          <w:b w:val="0"/>
          <w:bCs w:val="0"/>
          <w:sz w:val="21"/>
          <w:szCs w:val="21"/>
        </w:rPr>
      </w:pPr>
      <w:r>
        <w:rPr>
          <w:rFonts w:hint="eastAsia" w:ascii="宋体" w:hAnsi="宋体" w:eastAsia="宋体" w:cs="宋体"/>
          <w:b w:val="0"/>
          <w:bCs w:val="0"/>
          <w:sz w:val="21"/>
          <w:szCs w:val="21"/>
        </w:rPr>
        <w:t>2、安乐死设备</w:t>
      </w:r>
    </w:p>
    <w:p w14:paraId="609DAE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执行安乐死所用的药物与仪器设备，应随时保持最佳的使用状态。依据动物品种、体重及数量，事先准备好足量的药物与设备仪器，并定期维护。动物安乐死时被血液、粪尿污染的器具应及时清洗消毒，一面造成其他安乐死前动物的焦虑。</w:t>
      </w:r>
    </w:p>
    <w:p w14:paraId="1C3350CE">
      <w:pPr>
        <w:rPr>
          <w:rFonts w:hint="eastAsia" w:ascii="宋体" w:hAnsi="宋体" w:eastAsia="宋体" w:cs="宋体"/>
          <w:b w:val="0"/>
          <w:bCs w:val="0"/>
          <w:sz w:val="21"/>
          <w:szCs w:val="21"/>
        </w:rPr>
      </w:pPr>
      <w:r>
        <w:rPr>
          <w:rFonts w:hint="eastAsia" w:ascii="宋体" w:hAnsi="宋体" w:eastAsia="宋体" w:cs="宋体"/>
          <w:b w:val="0"/>
          <w:bCs w:val="0"/>
          <w:sz w:val="21"/>
          <w:szCs w:val="21"/>
        </w:rPr>
        <w:t>3、辅助安乐死的方法</w:t>
      </w:r>
    </w:p>
    <w:p w14:paraId="77AFAA1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动物安乐死首要考虑解除动物临死前的痛苦与焦虑，因此对于精神亢奋或难以控制的动物，应先给予相应的镇静剂或止疼药后再对其执行安乐死。</w:t>
      </w:r>
    </w:p>
    <w:p w14:paraId="291D9B49">
      <w:pPr>
        <w:rPr>
          <w:rFonts w:hint="eastAsia" w:ascii="宋体" w:hAnsi="宋体" w:eastAsia="宋体" w:cs="宋体"/>
          <w:b w:val="0"/>
          <w:bCs w:val="0"/>
          <w:sz w:val="21"/>
          <w:szCs w:val="21"/>
        </w:rPr>
      </w:pPr>
      <w:r>
        <w:rPr>
          <w:rFonts w:hint="eastAsia" w:ascii="宋体" w:hAnsi="宋体" w:eastAsia="宋体" w:cs="宋体"/>
          <w:b w:val="0"/>
          <w:bCs w:val="0"/>
          <w:sz w:val="21"/>
          <w:szCs w:val="21"/>
        </w:rPr>
        <w:t>4、确认动物死亡</w:t>
      </w:r>
    </w:p>
    <w:p w14:paraId="6FDB127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所有动物的安乐死，最终步骤须确认动物是否已经完全死亡。应检查动物的心跳是否完全停止、瞳孔是否放大。停止呼吸的单一现象不能作为判断动物是否死亡的依据，因为动物往往先停止呼吸，数分钟之后才停止心跳，在使用二氧化碳对动物进行安乐死时尤其明显。另外，兔子与禽类会憋气，因此不适用二氧化碳作为安乐死方案。</w:t>
      </w:r>
    </w:p>
    <w:p w14:paraId="42603BFE">
      <w:pPr>
        <w:rPr>
          <w:rFonts w:hint="eastAsia" w:ascii="宋体" w:hAnsi="宋体" w:eastAsia="宋体" w:cs="宋体"/>
          <w:b w:val="0"/>
          <w:bCs w:val="0"/>
          <w:sz w:val="21"/>
          <w:szCs w:val="21"/>
        </w:rPr>
      </w:pPr>
      <w:r>
        <w:rPr>
          <w:rFonts w:hint="eastAsia" w:ascii="宋体" w:hAnsi="宋体" w:eastAsia="宋体" w:cs="宋体"/>
          <w:b w:val="0"/>
          <w:bCs w:val="0"/>
          <w:sz w:val="21"/>
          <w:szCs w:val="21"/>
        </w:rPr>
        <w:t>5、动物尸体处理</w:t>
      </w:r>
    </w:p>
    <w:p w14:paraId="00EA545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执行动物安乐死及尸体处理的人员必须了解该动物是否有人畜共患病的潜在危害、是否曾进行过放射性物质或有毒化学物质试验，必要时应有适当的人员防护措施（PPE）。  </w:t>
      </w:r>
    </w:p>
    <w:p w14:paraId="1147A392">
      <w:pPr>
        <w:rPr>
          <w:rFonts w:hint="eastAsia"/>
          <w:b/>
          <w:bCs/>
        </w:rPr>
      </w:pPr>
    </w:p>
    <w:p w14:paraId="677D7388">
      <w:pPr>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FB1364"/>
    <w:multiLevelType w:val="multilevel"/>
    <w:tmpl w:val="05FB136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43C7529"/>
    <w:multiLevelType w:val="singleLevel"/>
    <w:tmpl w:val="743C752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3F8"/>
    <w:rsid w:val="000446F0"/>
    <w:rsid w:val="000F3592"/>
    <w:rsid w:val="000F4DF4"/>
    <w:rsid w:val="001C16D2"/>
    <w:rsid w:val="00247343"/>
    <w:rsid w:val="0026222A"/>
    <w:rsid w:val="00497590"/>
    <w:rsid w:val="004B16F4"/>
    <w:rsid w:val="005B759F"/>
    <w:rsid w:val="00644467"/>
    <w:rsid w:val="0069783E"/>
    <w:rsid w:val="006B1540"/>
    <w:rsid w:val="00715155"/>
    <w:rsid w:val="008947AE"/>
    <w:rsid w:val="008A73F8"/>
    <w:rsid w:val="008C36C3"/>
    <w:rsid w:val="00976325"/>
    <w:rsid w:val="00A441FC"/>
    <w:rsid w:val="00AE0D6A"/>
    <w:rsid w:val="00B07400"/>
    <w:rsid w:val="00B41D9E"/>
    <w:rsid w:val="00BD3F9B"/>
    <w:rsid w:val="00C4281C"/>
    <w:rsid w:val="00CC6AB6"/>
    <w:rsid w:val="00CE6EAD"/>
    <w:rsid w:val="00D63F18"/>
    <w:rsid w:val="00F26FB4"/>
    <w:rsid w:val="00F90099"/>
    <w:rsid w:val="015363B7"/>
    <w:rsid w:val="0403426D"/>
    <w:rsid w:val="05F56CB3"/>
    <w:rsid w:val="070457D8"/>
    <w:rsid w:val="0797489E"/>
    <w:rsid w:val="07C5765D"/>
    <w:rsid w:val="080A2E0D"/>
    <w:rsid w:val="0A523055"/>
    <w:rsid w:val="0AC97464"/>
    <w:rsid w:val="0B963927"/>
    <w:rsid w:val="0E5F0126"/>
    <w:rsid w:val="10282F2C"/>
    <w:rsid w:val="10D46167"/>
    <w:rsid w:val="125D0CD0"/>
    <w:rsid w:val="12A10CC7"/>
    <w:rsid w:val="15281484"/>
    <w:rsid w:val="176F4EEF"/>
    <w:rsid w:val="18A22B4C"/>
    <w:rsid w:val="19BE215E"/>
    <w:rsid w:val="19F85670"/>
    <w:rsid w:val="1A107633"/>
    <w:rsid w:val="1A750A6F"/>
    <w:rsid w:val="1B252495"/>
    <w:rsid w:val="1BBE1FA1"/>
    <w:rsid w:val="1D436C02"/>
    <w:rsid w:val="1DB23D88"/>
    <w:rsid w:val="1F04547E"/>
    <w:rsid w:val="1FE02E2E"/>
    <w:rsid w:val="1FE46DC7"/>
    <w:rsid w:val="219E4D4F"/>
    <w:rsid w:val="221943D6"/>
    <w:rsid w:val="228F11E6"/>
    <w:rsid w:val="231132FF"/>
    <w:rsid w:val="24FF73DB"/>
    <w:rsid w:val="257C5270"/>
    <w:rsid w:val="26121868"/>
    <w:rsid w:val="27AE0637"/>
    <w:rsid w:val="2B977451"/>
    <w:rsid w:val="2C02237E"/>
    <w:rsid w:val="2D7E3C87"/>
    <w:rsid w:val="2EC30337"/>
    <w:rsid w:val="2F4665EA"/>
    <w:rsid w:val="2FEE50F3"/>
    <w:rsid w:val="328E34CC"/>
    <w:rsid w:val="331704BD"/>
    <w:rsid w:val="3573663D"/>
    <w:rsid w:val="367B5207"/>
    <w:rsid w:val="37FF0F15"/>
    <w:rsid w:val="38956011"/>
    <w:rsid w:val="39C12F31"/>
    <w:rsid w:val="3ACB1A79"/>
    <w:rsid w:val="3DDC445D"/>
    <w:rsid w:val="3E341B60"/>
    <w:rsid w:val="3ED31FC4"/>
    <w:rsid w:val="3F9966FE"/>
    <w:rsid w:val="400E7546"/>
    <w:rsid w:val="405014B2"/>
    <w:rsid w:val="40510080"/>
    <w:rsid w:val="4267663F"/>
    <w:rsid w:val="434C41B3"/>
    <w:rsid w:val="435C7515"/>
    <w:rsid w:val="43BE3109"/>
    <w:rsid w:val="475F1FDB"/>
    <w:rsid w:val="487617B9"/>
    <w:rsid w:val="48AE4417"/>
    <w:rsid w:val="4A490FFE"/>
    <w:rsid w:val="4C980BA5"/>
    <w:rsid w:val="4D6649B9"/>
    <w:rsid w:val="4E2E6B79"/>
    <w:rsid w:val="4E9F68AE"/>
    <w:rsid w:val="50096F88"/>
    <w:rsid w:val="503C735D"/>
    <w:rsid w:val="504F52E3"/>
    <w:rsid w:val="50BF61EE"/>
    <w:rsid w:val="524F02C2"/>
    <w:rsid w:val="53890B0C"/>
    <w:rsid w:val="53DB5ED4"/>
    <w:rsid w:val="543D36A4"/>
    <w:rsid w:val="546C460E"/>
    <w:rsid w:val="547F7572"/>
    <w:rsid w:val="5531145B"/>
    <w:rsid w:val="556765A2"/>
    <w:rsid w:val="577953EF"/>
    <w:rsid w:val="586650C3"/>
    <w:rsid w:val="58DC348C"/>
    <w:rsid w:val="5A822121"/>
    <w:rsid w:val="5B5A767F"/>
    <w:rsid w:val="5C074CC3"/>
    <w:rsid w:val="5ED30E8D"/>
    <w:rsid w:val="617A5F38"/>
    <w:rsid w:val="62913539"/>
    <w:rsid w:val="630F26B0"/>
    <w:rsid w:val="63837917"/>
    <w:rsid w:val="645B1BCC"/>
    <w:rsid w:val="651421FF"/>
    <w:rsid w:val="66203A8D"/>
    <w:rsid w:val="663C2240"/>
    <w:rsid w:val="6654098A"/>
    <w:rsid w:val="677156E7"/>
    <w:rsid w:val="69953C45"/>
    <w:rsid w:val="6A8120E5"/>
    <w:rsid w:val="6A975464"/>
    <w:rsid w:val="6AE443D8"/>
    <w:rsid w:val="6BC009EB"/>
    <w:rsid w:val="6EDF73DA"/>
    <w:rsid w:val="701E3F32"/>
    <w:rsid w:val="70507C7A"/>
    <w:rsid w:val="70AD3C34"/>
    <w:rsid w:val="70CA3E58"/>
    <w:rsid w:val="70F51137"/>
    <w:rsid w:val="70F945D3"/>
    <w:rsid w:val="7121425C"/>
    <w:rsid w:val="71220250"/>
    <w:rsid w:val="72A42E14"/>
    <w:rsid w:val="751A73BE"/>
    <w:rsid w:val="776350D7"/>
    <w:rsid w:val="797A64AA"/>
    <w:rsid w:val="7A42274E"/>
    <w:rsid w:val="7AB61937"/>
    <w:rsid w:val="7B8E01BE"/>
    <w:rsid w:val="7C932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6">
    <w:name w:val="Strong"/>
    <w:basedOn w:val="15"/>
    <w:qFormat/>
    <w:uiPriority w:val="22"/>
    <w:rPr>
      <w:b/>
      <w:bCs/>
    </w:rPr>
  </w:style>
  <w:style w:type="character" w:styleId="17">
    <w:name w:val="Hyperlink"/>
    <w:basedOn w:val="15"/>
    <w:unhideWhenUsed/>
    <w:qFormat/>
    <w:uiPriority w:val="99"/>
    <w:rPr>
      <w:color w:val="467886" w:themeColor="hyperlink"/>
      <w:u w:val="single"/>
      <w14:textFill>
        <w14:solidFill>
          <w14:schemeClr w14:val="hlink"/>
        </w14:solidFill>
      </w14:textFill>
    </w:rPr>
  </w:style>
  <w:style w:type="character" w:customStyle="1" w:styleId="18">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5"/>
    <w:link w:val="5"/>
    <w:semiHidden/>
    <w:qFormat/>
    <w:uiPriority w:val="9"/>
    <w:rPr>
      <w:rFonts w:cstheme="majorBidi"/>
      <w:color w:val="104862" w:themeColor="accent1" w:themeShade="BF"/>
      <w:sz w:val="28"/>
      <w:szCs w:val="28"/>
    </w:rPr>
  </w:style>
  <w:style w:type="character" w:customStyle="1" w:styleId="22">
    <w:name w:val="标题 5 字符"/>
    <w:basedOn w:val="15"/>
    <w:link w:val="6"/>
    <w:semiHidden/>
    <w:qFormat/>
    <w:uiPriority w:val="9"/>
    <w:rPr>
      <w:rFonts w:cstheme="majorBidi"/>
      <w:color w:val="104862" w:themeColor="accent1" w:themeShade="BF"/>
      <w:sz w:val="24"/>
      <w:szCs w:val="24"/>
    </w:rPr>
  </w:style>
  <w:style w:type="character" w:customStyle="1" w:styleId="23">
    <w:name w:val="标题 6 字符"/>
    <w:basedOn w:val="15"/>
    <w:link w:val="7"/>
    <w:semiHidden/>
    <w:qFormat/>
    <w:uiPriority w:val="9"/>
    <w:rPr>
      <w:rFonts w:cstheme="majorBidi"/>
      <w:b/>
      <w:bCs/>
      <w:color w:val="104862" w:themeColor="accent1" w:themeShade="BF"/>
    </w:rPr>
  </w:style>
  <w:style w:type="character" w:customStyle="1" w:styleId="24">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5"/>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5"/>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5"/>
    <w:link w:val="33"/>
    <w:qFormat/>
    <w:uiPriority w:val="30"/>
    <w:rPr>
      <w:i/>
      <w:iCs/>
      <w:color w:val="104862" w:themeColor="accent1" w:themeShade="BF"/>
    </w:rPr>
  </w:style>
  <w:style w:type="character" w:customStyle="1" w:styleId="35">
    <w:name w:val="Intense Reference"/>
    <w:basedOn w:val="15"/>
    <w:qFormat/>
    <w:uiPriority w:val="32"/>
    <w:rPr>
      <w:b/>
      <w:bCs/>
      <w:smallCaps/>
      <w:color w:val="104862" w:themeColor="accent1" w:themeShade="BF"/>
      <w:spacing w:val="5"/>
    </w:rPr>
  </w:style>
  <w:style w:type="character" w:customStyle="1" w:styleId="36">
    <w:name w:val="Unresolved Mention"/>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6577</Words>
  <Characters>7089</Characters>
  <Lines>710</Lines>
  <Paragraphs>772</Paragraphs>
  <TotalTime>10</TotalTime>
  <ScaleCrop>false</ScaleCrop>
  <LinksUpToDate>false</LinksUpToDate>
  <CharactersWithSpaces>7208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2025-03-05T02:04:00Z</dcterms:created>
  <dc:creator>yingying cao</dc:creator>
  <cp:lastModifiedBy>Lili</cp:lastModifiedBy>
  <dcterms:modified xsi:type="dcterms:W3CDTF">2026-03-17T01:08:11Z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a400b08b-65b8-43e5-95ba-74705b090044</vt:lpwstr>
  </property>
  <property fmtid="{D5CDD505-2E9C-101B-9397-08002B2CF9AE}" pid="3" name="KSOTemplateDocerSaveRecord">
    <vt:lpwstr>eyJoZGlkIjoiZTk5YWRkMTE3MGU5ZGFlY2NkNjk5OWUxNTQ5NWEyNGIiLCJ1c2VySWQiOiI0MDQxMzkwMzMifQ==</vt:lpwstr>
  </property>
  <property fmtid="{D5CDD505-2E9C-101B-9397-08002B2CF9AE}" pid="4" name="KSOProductBuildVer">
    <vt:lpwstr>2052-12.1.0.25225</vt:lpwstr>
  </property>
  <property fmtid="{D5CDD505-2E9C-101B-9397-08002B2CF9AE}" pid="5" name="ICV">
    <vt:lpwstr>8827B96C5EFA4B8C8FB0F76F9D39214B_12</vt:lpwstr>
  </property>
</Properties>
</file>