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4171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公共卫生与管理</w:t>
      </w:r>
      <w:r>
        <w:rPr>
          <w:rFonts w:hint="eastAsia" w:ascii="方正小标宋简体" w:hAnsi="方正小标宋简体" w:eastAsia="方正小标宋简体" w:cs="方正小标宋简体"/>
          <w:sz w:val="36"/>
          <w:szCs w:val="36"/>
        </w:rPr>
        <w:t>学院202</w:t>
      </w:r>
      <w:r>
        <w:rPr>
          <w:rFonts w:hint="eastAsia" w:ascii="方正小标宋简体" w:hAnsi="方正小标宋简体" w:eastAsia="方正小标宋简体" w:cs="方正小标宋简体"/>
          <w:sz w:val="36"/>
          <w:szCs w:val="36"/>
          <w:lang w:val="en-US" w:eastAsia="zh-CN"/>
        </w:rPr>
        <w:t>6</w:t>
      </w:r>
      <w:r>
        <w:rPr>
          <w:rFonts w:hint="eastAsia" w:ascii="方正小标宋简体" w:hAnsi="方正小标宋简体" w:eastAsia="方正小标宋简体" w:cs="方正小标宋简体"/>
          <w:sz w:val="36"/>
          <w:szCs w:val="36"/>
        </w:rPr>
        <w:t>年本科学生转专业</w:t>
      </w:r>
    </w:p>
    <w:p w14:paraId="15135E2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工作方案</w:t>
      </w:r>
    </w:p>
    <w:p w14:paraId="5EA55F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5038C18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为满足更多同学的转专业需要，根据《广西中医药大学本科学生转专业管理实施细则（2025年修订）》要求，为做好</w:t>
      </w:r>
      <w:r>
        <w:rPr>
          <w:rFonts w:hint="eastAsia" w:ascii="仿宋_GB2312" w:hAnsi="仿宋_GB2312" w:eastAsia="仿宋_GB2312" w:cs="仿宋_GB2312"/>
          <w:sz w:val="32"/>
          <w:szCs w:val="32"/>
          <w:lang w:eastAsia="zh-CN"/>
        </w:rPr>
        <w:t>公共卫生与管理</w:t>
      </w:r>
      <w:r>
        <w:rPr>
          <w:rFonts w:hint="eastAsia" w:ascii="仿宋_GB2312" w:hAnsi="仿宋_GB2312" w:eastAsia="仿宋_GB2312" w:cs="仿宋_GB2312"/>
          <w:sz w:val="32"/>
          <w:szCs w:val="32"/>
        </w:rPr>
        <w:t>学院202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年本科学生转专业工作，特制定本方案。</w:t>
      </w:r>
    </w:p>
    <w:p w14:paraId="089F3FD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一、转专业</w:t>
      </w:r>
      <w:r>
        <w:rPr>
          <w:rFonts w:hint="eastAsia" w:ascii="黑体" w:hAnsi="黑体" w:eastAsia="黑体" w:cs="黑体"/>
          <w:sz w:val="32"/>
          <w:szCs w:val="32"/>
          <w:lang w:val="en-US" w:eastAsia="zh-CN"/>
        </w:rPr>
        <w:t>计划数</w:t>
      </w:r>
    </w:p>
    <w:p w14:paraId="0400EA3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公共卫生与管理</w:t>
      </w:r>
      <w:r>
        <w:rPr>
          <w:rFonts w:hint="eastAsia" w:ascii="仿宋_GB2312" w:hAnsi="仿宋_GB2312" w:eastAsia="仿宋_GB2312" w:cs="仿宋_GB2312"/>
          <w:sz w:val="32"/>
          <w:szCs w:val="32"/>
        </w:rPr>
        <w:t>学</w:t>
      </w: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专业可接收转入最大学生数</w:t>
      </w:r>
      <w:r>
        <w:rPr>
          <w:rFonts w:hint="eastAsia" w:ascii="仿宋_GB2312" w:hAnsi="仿宋_GB2312" w:eastAsia="仿宋_GB2312" w:cs="仿宋_GB2312"/>
          <w:sz w:val="32"/>
          <w:szCs w:val="32"/>
          <w:lang w:val="en-US" w:eastAsia="zh-CN"/>
        </w:rPr>
        <w:t>如下：</w:t>
      </w:r>
    </w:p>
    <w:tbl>
      <w:tblPr>
        <w:tblStyle w:val="2"/>
        <w:tblW w:w="8522"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 w:type="dxa"/>
          <w:bottom w:w="0" w:type="dxa"/>
          <w:right w:w="10" w:type="dxa"/>
        </w:tblCellMar>
      </w:tblPr>
      <w:tblGrid>
        <w:gridCol w:w="1108"/>
        <w:gridCol w:w="3085"/>
        <w:gridCol w:w="1110"/>
        <w:gridCol w:w="1609"/>
        <w:gridCol w:w="1610"/>
      </w:tblGrid>
      <w:tr w14:paraId="3DD61E3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1108" w:type="dxa"/>
            <w:tcBorders>
              <w:top w:val="single" w:color="auto" w:sz="12" w:space="0"/>
              <w:left w:val="nil"/>
              <w:bottom w:val="nil"/>
              <w:right w:val="nil"/>
            </w:tcBorders>
            <w:noWrap w:val="0"/>
            <w:tcMar>
              <w:top w:w="60" w:type="dxa"/>
              <w:left w:w="120" w:type="dxa"/>
              <w:bottom w:w="30" w:type="dxa"/>
              <w:right w:w="120" w:type="dxa"/>
            </w:tcMar>
            <w:vAlign w:val="center"/>
          </w:tcPr>
          <w:p w14:paraId="423FC4EC">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bCs/>
                <w:color w:val="auto"/>
                <w:sz w:val="30"/>
                <w:szCs w:val="30"/>
                <w:lang w:eastAsia="zh-CN"/>
              </w:rPr>
            </w:pPr>
            <w:r>
              <w:rPr>
                <w:rFonts w:hint="eastAsia" w:ascii="仿宋_GB2312" w:hAnsi="仿宋_GB2312" w:eastAsia="仿宋_GB2312" w:cs="仿宋_GB2312"/>
                <w:b/>
                <w:bCs/>
                <w:color w:val="auto"/>
                <w:sz w:val="30"/>
                <w:szCs w:val="30"/>
                <w:lang w:val="en-US" w:eastAsia="zh-CN"/>
              </w:rPr>
              <w:t>序号</w:t>
            </w:r>
          </w:p>
        </w:tc>
        <w:tc>
          <w:tcPr>
            <w:tcW w:w="3085" w:type="dxa"/>
            <w:tcBorders>
              <w:top w:val="single" w:color="auto" w:sz="12" w:space="0"/>
              <w:left w:val="nil"/>
              <w:bottom w:val="nil"/>
              <w:right w:val="nil"/>
            </w:tcBorders>
            <w:noWrap w:val="0"/>
            <w:tcMar>
              <w:top w:w="60" w:type="dxa"/>
              <w:left w:w="120" w:type="dxa"/>
              <w:bottom w:w="30" w:type="dxa"/>
              <w:right w:w="120" w:type="dxa"/>
            </w:tcMar>
            <w:vAlign w:val="center"/>
          </w:tcPr>
          <w:p w14:paraId="0BD2DE81">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仿宋_GB2312" w:hAnsi="仿宋_GB2312" w:eastAsia="仿宋_GB2312" w:cs="仿宋_GB2312"/>
                <w:b/>
                <w:bCs/>
                <w:color w:val="auto"/>
                <w:sz w:val="30"/>
                <w:szCs w:val="30"/>
                <w:lang w:val="en-US" w:eastAsia="zh-CN"/>
              </w:rPr>
            </w:pPr>
            <w:r>
              <w:rPr>
                <w:rFonts w:hint="eastAsia" w:ascii="仿宋_GB2312" w:hAnsi="仿宋_GB2312" w:eastAsia="仿宋_GB2312" w:cs="仿宋_GB2312"/>
                <w:b/>
                <w:bCs/>
                <w:color w:val="auto"/>
                <w:sz w:val="30"/>
                <w:szCs w:val="30"/>
                <w:lang w:val="en-US" w:eastAsia="zh-CN"/>
              </w:rPr>
              <w:t>专业名称</w:t>
            </w:r>
          </w:p>
        </w:tc>
        <w:tc>
          <w:tcPr>
            <w:tcW w:w="1110" w:type="dxa"/>
            <w:tcBorders>
              <w:top w:val="single" w:color="auto" w:sz="12" w:space="0"/>
              <w:left w:val="nil"/>
              <w:bottom w:val="nil"/>
              <w:right w:val="nil"/>
            </w:tcBorders>
            <w:noWrap w:val="0"/>
            <w:tcMar>
              <w:top w:w="60" w:type="dxa"/>
              <w:left w:w="120" w:type="dxa"/>
              <w:bottom w:w="30" w:type="dxa"/>
              <w:right w:w="120" w:type="dxa"/>
            </w:tcMar>
            <w:vAlign w:val="center"/>
          </w:tcPr>
          <w:p w14:paraId="5ACFF825">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学制</w:t>
            </w:r>
          </w:p>
        </w:tc>
        <w:tc>
          <w:tcPr>
            <w:tcW w:w="1609" w:type="dxa"/>
            <w:tcBorders>
              <w:top w:val="single" w:color="auto" w:sz="12" w:space="0"/>
              <w:left w:val="nil"/>
              <w:bottom w:val="nil"/>
              <w:right w:val="nil"/>
            </w:tcBorders>
            <w:noWrap w:val="0"/>
            <w:tcMar>
              <w:top w:w="60" w:type="dxa"/>
              <w:left w:w="120" w:type="dxa"/>
              <w:bottom w:w="30" w:type="dxa"/>
              <w:right w:w="120" w:type="dxa"/>
            </w:tcMar>
            <w:vAlign w:val="center"/>
          </w:tcPr>
          <w:p w14:paraId="1E0755F1">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仿宋_GB2312" w:hAnsi="仿宋_GB2312" w:eastAsia="仿宋_GB2312" w:cs="仿宋_GB2312"/>
                <w:b/>
                <w:bCs/>
                <w:color w:val="auto"/>
                <w:sz w:val="30"/>
                <w:szCs w:val="30"/>
                <w:lang w:val="en-US" w:eastAsia="zh-CN"/>
              </w:rPr>
            </w:pPr>
            <w:r>
              <w:rPr>
                <w:rFonts w:hint="eastAsia" w:ascii="仿宋_GB2312" w:hAnsi="仿宋_GB2312" w:eastAsia="仿宋_GB2312" w:cs="仿宋_GB2312"/>
                <w:b/>
                <w:bCs/>
                <w:color w:val="auto"/>
                <w:sz w:val="30"/>
                <w:szCs w:val="30"/>
                <w:lang w:val="en-US" w:eastAsia="zh-CN"/>
              </w:rPr>
              <w:t>2025级</w:t>
            </w:r>
          </w:p>
        </w:tc>
        <w:tc>
          <w:tcPr>
            <w:tcW w:w="1610" w:type="dxa"/>
            <w:tcBorders>
              <w:top w:val="single" w:color="auto" w:sz="12" w:space="0"/>
              <w:left w:val="nil"/>
              <w:bottom w:val="nil"/>
              <w:right w:val="nil"/>
            </w:tcBorders>
            <w:noWrap w:val="0"/>
            <w:tcMar>
              <w:top w:w="60" w:type="dxa"/>
              <w:left w:w="120" w:type="dxa"/>
              <w:bottom w:w="30" w:type="dxa"/>
              <w:right w:w="120" w:type="dxa"/>
            </w:tcMar>
            <w:vAlign w:val="center"/>
          </w:tcPr>
          <w:p w14:paraId="727CE035">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仿宋_GB2312" w:hAnsi="仿宋_GB2312" w:eastAsia="仿宋_GB2312" w:cs="仿宋_GB2312"/>
                <w:b/>
                <w:bCs/>
                <w:color w:val="auto"/>
                <w:sz w:val="30"/>
                <w:szCs w:val="30"/>
                <w:lang w:val="en-US" w:eastAsia="zh-CN"/>
              </w:rPr>
            </w:pPr>
            <w:r>
              <w:rPr>
                <w:rFonts w:hint="eastAsia" w:ascii="仿宋_GB2312" w:hAnsi="仿宋_GB2312" w:eastAsia="仿宋_GB2312" w:cs="仿宋_GB2312"/>
                <w:b/>
                <w:bCs/>
                <w:color w:val="auto"/>
                <w:sz w:val="30"/>
                <w:szCs w:val="30"/>
                <w:lang w:val="en-US" w:eastAsia="zh-CN"/>
              </w:rPr>
              <w:t>2026级</w:t>
            </w:r>
          </w:p>
        </w:tc>
      </w:tr>
      <w:tr w14:paraId="056DE46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1108" w:type="dxa"/>
            <w:tcBorders>
              <w:top w:val="single" w:color="auto" w:sz="4" w:space="0"/>
              <w:left w:val="nil"/>
              <w:bottom w:val="nil"/>
              <w:right w:val="nil"/>
            </w:tcBorders>
            <w:noWrap w:val="0"/>
            <w:tcMar>
              <w:top w:w="60" w:type="dxa"/>
              <w:left w:w="120" w:type="dxa"/>
              <w:bottom w:w="30" w:type="dxa"/>
              <w:right w:w="120" w:type="dxa"/>
            </w:tcMar>
            <w:vAlign w:val="center"/>
          </w:tcPr>
          <w:p w14:paraId="157EC29C">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1</w:t>
            </w:r>
          </w:p>
        </w:tc>
        <w:tc>
          <w:tcPr>
            <w:tcW w:w="3085" w:type="dxa"/>
            <w:tcBorders>
              <w:top w:val="single" w:color="auto" w:sz="4" w:space="0"/>
              <w:left w:val="nil"/>
              <w:bottom w:val="nil"/>
              <w:right w:val="nil"/>
            </w:tcBorders>
            <w:noWrap w:val="0"/>
            <w:tcMar>
              <w:top w:w="60" w:type="dxa"/>
              <w:left w:w="120" w:type="dxa"/>
              <w:bottom w:w="30" w:type="dxa"/>
              <w:right w:w="120" w:type="dxa"/>
            </w:tcMar>
            <w:vAlign w:val="center"/>
          </w:tcPr>
          <w:p w14:paraId="2B50C982">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left"/>
              <w:textAlignment w:val="auto"/>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rPr>
              <w:t>预防医学</w:t>
            </w:r>
          </w:p>
        </w:tc>
        <w:tc>
          <w:tcPr>
            <w:tcW w:w="1110" w:type="dxa"/>
            <w:tcBorders>
              <w:top w:val="single" w:color="auto" w:sz="4" w:space="0"/>
              <w:left w:val="nil"/>
              <w:bottom w:val="nil"/>
              <w:right w:val="nil"/>
            </w:tcBorders>
            <w:noWrap w:val="0"/>
            <w:tcMar>
              <w:top w:w="60" w:type="dxa"/>
              <w:left w:w="120" w:type="dxa"/>
              <w:bottom w:w="30" w:type="dxa"/>
              <w:right w:w="120" w:type="dxa"/>
            </w:tcMar>
            <w:vAlign w:val="center"/>
          </w:tcPr>
          <w:p w14:paraId="2CD69D84">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rPr>
              <w:t>五年</w:t>
            </w:r>
          </w:p>
        </w:tc>
        <w:tc>
          <w:tcPr>
            <w:tcW w:w="1609" w:type="dxa"/>
            <w:tcBorders>
              <w:top w:val="single" w:color="auto" w:sz="4" w:space="0"/>
              <w:left w:val="nil"/>
              <w:bottom w:val="nil"/>
              <w:right w:val="nil"/>
            </w:tcBorders>
            <w:noWrap w:val="0"/>
            <w:tcMar>
              <w:top w:w="60" w:type="dxa"/>
              <w:left w:w="120" w:type="dxa"/>
              <w:bottom w:w="30" w:type="dxa"/>
              <w:right w:w="120" w:type="dxa"/>
            </w:tcMar>
            <w:vAlign w:val="center"/>
          </w:tcPr>
          <w:p w14:paraId="09F6FCEE">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4</w:t>
            </w:r>
          </w:p>
        </w:tc>
        <w:tc>
          <w:tcPr>
            <w:tcW w:w="1610" w:type="dxa"/>
            <w:tcBorders>
              <w:top w:val="single" w:color="auto" w:sz="4" w:space="0"/>
              <w:left w:val="nil"/>
              <w:bottom w:val="nil"/>
              <w:right w:val="nil"/>
            </w:tcBorders>
            <w:noWrap w:val="0"/>
            <w:tcMar>
              <w:top w:w="60" w:type="dxa"/>
              <w:left w:w="120" w:type="dxa"/>
              <w:bottom w:w="30" w:type="dxa"/>
              <w:right w:w="120" w:type="dxa"/>
            </w:tcMar>
            <w:vAlign w:val="center"/>
          </w:tcPr>
          <w:p w14:paraId="64199299">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2</w:t>
            </w:r>
          </w:p>
        </w:tc>
      </w:tr>
      <w:tr w14:paraId="6604AAE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1108" w:type="dxa"/>
            <w:tcBorders>
              <w:top w:val="nil"/>
              <w:left w:val="nil"/>
              <w:bottom w:val="nil"/>
              <w:right w:val="nil"/>
            </w:tcBorders>
            <w:noWrap w:val="0"/>
            <w:tcMar>
              <w:top w:w="60" w:type="dxa"/>
              <w:left w:w="120" w:type="dxa"/>
              <w:bottom w:w="30" w:type="dxa"/>
              <w:right w:w="120" w:type="dxa"/>
            </w:tcMar>
            <w:vAlign w:val="center"/>
          </w:tcPr>
          <w:p w14:paraId="55B8709F">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2</w:t>
            </w:r>
          </w:p>
        </w:tc>
        <w:tc>
          <w:tcPr>
            <w:tcW w:w="3085" w:type="dxa"/>
            <w:tcBorders>
              <w:top w:val="nil"/>
              <w:left w:val="nil"/>
              <w:bottom w:val="nil"/>
              <w:right w:val="nil"/>
            </w:tcBorders>
            <w:noWrap w:val="0"/>
            <w:tcMar>
              <w:top w:w="60" w:type="dxa"/>
              <w:left w:w="120" w:type="dxa"/>
              <w:bottom w:w="30" w:type="dxa"/>
              <w:right w:w="120" w:type="dxa"/>
            </w:tcMar>
            <w:vAlign w:val="center"/>
          </w:tcPr>
          <w:p w14:paraId="66DCD867">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left"/>
              <w:textAlignment w:val="auto"/>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rPr>
              <w:t>健康服务与管理</w:t>
            </w:r>
          </w:p>
        </w:tc>
        <w:tc>
          <w:tcPr>
            <w:tcW w:w="1110" w:type="dxa"/>
            <w:tcBorders>
              <w:top w:val="nil"/>
              <w:left w:val="nil"/>
              <w:bottom w:val="nil"/>
              <w:right w:val="nil"/>
            </w:tcBorders>
            <w:noWrap w:val="0"/>
            <w:tcMar>
              <w:top w:w="60" w:type="dxa"/>
              <w:left w:w="120" w:type="dxa"/>
              <w:bottom w:w="30" w:type="dxa"/>
              <w:right w:w="120" w:type="dxa"/>
            </w:tcMar>
            <w:vAlign w:val="center"/>
          </w:tcPr>
          <w:p w14:paraId="79BC0F81">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z w:val="30"/>
                <w:szCs w:val="30"/>
              </w:rPr>
            </w:pPr>
            <w:r>
              <w:rPr>
                <w:rFonts w:hint="eastAsia" w:ascii="仿宋_GB2312" w:hAnsi="仿宋_GB2312" w:eastAsia="仿宋_GB2312" w:cs="仿宋_GB2312"/>
                <w:b w:val="0"/>
                <w:bCs w:val="0"/>
                <w:color w:val="auto"/>
                <w:sz w:val="30"/>
                <w:szCs w:val="30"/>
              </w:rPr>
              <w:t>四年</w:t>
            </w:r>
          </w:p>
        </w:tc>
        <w:tc>
          <w:tcPr>
            <w:tcW w:w="1609" w:type="dxa"/>
            <w:tcBorders>
              <w:top w:val="nil"/>
              <w:left w:val="nil"/>
              <w:bottom w:val="nil"/>
              <w:right w:val="nil"/>
            </w:tcBorders>
            <w:noWrap w:val="0"/>
            <w:tcMar>
              <w:top w:w="60" w:type="dxa"/>
              <w:left w:w="120" w:type="dxa"/>
              <w:bottom w:w="30" w:type="dxa"/>
              <w:right w:w="120" w:type="dxa"/>
            </w:tcMar>
            <w:vAlign w:val="center"/>
          </w:tcPr>
          <w:p w14:paraId="6533D3F2">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z w:val="30"/>
                <w:szCs w:val="30"/>
                <w:lang w:eastAsia="zh-CN"/>
              </w:rPr>
            </w:pPr>
            <w:r>
              <w:rPr>
                <w:rFonts w:hint="eastAsia" w:ascii="仿宋_GB2312" w:hAnsi="仿宋_GB2312" w:eastAsia="仿宋_GB2312" w:cs="仿宋_GB2312"/>
                <w:b w:val="0"/>
                <w:bCs w:val="0"/>
                <w:color w:val="auto"/>
                <w:sz w:val="30"/>
                <w:szCs w:val="30"/>
                <w:lang w:val="en-US" w:eastAsia="zh-CN"/>
              </w:rPr>
              <w:t>1</w:t>
            </w:r>
          </w:p>
        </w:tc>
        <w:tc>
          <w:tcPr>
            <w:tcW w:w="1610" w:type="dxa"/>
            <w:tcBorders>
              <w:top w:val="nil"/>
              <w:left w:val="nil"/>
              <w:bottom w:val="nil"/>
              <w:right w:val="nil"/>
            </w:tcBorders>
            <w:noWrap w:val="0"/>
            <w:tcMar>
              <w:top w:w="60" w:type="dxa"/>
              <w:left w:w="120" w:type="dxa"/>
              <w:bottom w:w="30" w:type="dxa"/>
              <w:right w:w="120" w:type="dxa"/>
            </w:tcMar>
            <w:vAlign w:val="center"/>
          </w:tcPr>
          <w:p w14:paraId="21C1E2D5">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2</w:t>
            </w:r>
          </w:p>
        </w:tc>
      </w:tr>
      <w:tr w14:paraId="26F5A35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1108" w:type="dxa"/>
            <w:tcBorders>
              <w:top w:val="nil"/>
              <w:left w:val="nil"/>
              <w:bottom w:val="single" w:color="auto" w:sz="12" w:space="0"/>
              <w:right w:val="nil"/>
            </w:tcBorders>
            <w:noWrap w:val="0"/>
            <w:tcMar>
              <w:top w:w="60" w:type="dxa"/>
              <w:left w:w="120" w:type="dxa"/>
              <w:bottom w:w="30" w:type="dxa"/>
              <w:right w:w="120" w:type="dxa"/>
            </w:tcMar>
            <w:vAlign w:val="center"/>
          </w:tcPr>
          <w:p w14:paraId="59A37EAA">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3</w:t>
            </w:r>
          </w:p>
        </w:tc>
        <w:tc>
          <w:tcPr>
            <w:tcW w:w="3085" w:type="dxa"/>
            <w:tcBorders>
              <w:top w:val="nil"/>
              <w:left w:val="nil"/>
              <w:bottom w:val="single" w:color="auto" w:sz="12" w:space="0"/>
              <w:right w:val="nil"/>
            </w:tcBorders>
            <w:noWrap w:val="0"/>
            <w:tcMar>
              <w:top w:w="60" w:type="dxa"/>
              <w:left w:w="120" w:type="dxa"/>
              <w:bottom w:w="30" w:type="dxa"/>
              <w:right w:w="120" w:type="dxa"/>
            </w:tcMar>
            <w:vAlign w:val="center"/>
          </w:tcPr>
          <w:p w14:paraId="3CD712BA">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left"/>
              <w:textAlignment w:val="auto"/>
              <w:rPr>
                <w:rFonts w:hint="default"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医学信息工程</w:t>
            </w:r>
          </w:p>
        </w:tc>
        <w:tc>
          <w:tcPr>
            <w:tcW w:w="1110" w:type="dxa"/>
            <w:tcBorders>
              <w:top w:val="nil"/>
              <w:left w:val="nil"/>
              <w:bottom w:val="single" w:color="auto" w:sz="12" w:space="0"/>
              <w:right w:val="nil"/>
            </w:tcBorders>
            <w:noWrap w:val="0"/>
            <w:tcMar>
              <w:top w:w="60" w:type="dxa"/>
              <w:left w:w="120" w:type="dxa"/>
              <w:bottom w:w="30" w:type="dxa"/>
              <w:right w:w="120" w:type="dxa"/>
            </w:tcMar>
            <w:vAlign w:val="center"/>
          </w:tcPr>
          <w:p w14:paraId="236FE800">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四年</w:t>
            </w:r>
          </w:p>
        </w:tc>
        <w:tc>
          <w:tcPr>
            <w:tcW w:w="1609" w:type="dxa"/>
            <w:tcBorders>
              <w:top w:val="nil"/>
              <w:left w:val="nil"/>
              <w:bottom w:val="single" w:color="auto" w:sz="12" w:space="0"/>
              <w:right w:val="nil"/>
            </w:tcBorders>
            <w:noWrap w:val="0"/>
            <w:tcMar>
              <w:top w:w="60" w:type="dxa"/>
              <w:left w:w="120" w:type="dxa"/>
              <w:bottom w:w="30" w:type="dxa"/>
              <w:right w:w="120" w:type="dxa"/>
            </w:tcMar>
            <w:vAlign w:val="center"/>
          </w:tcPr>
          <w:p w14:paraId="318259DD">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1</w:t>
            </w:r>
          </w:p>
        </w:tc>
        <w:tc>
          <w:tcPr>
            <w:tcW w:w="1610" w:type="dxa"/>
            <w:tcBorders>
              <w:top w:val="nil"/>
              <w:left w:val="nil"/>
              <w:bottom w:val="single" w:color="auto" w:sz="12" w:space="0"/>
              <w:right w:val="nil"/>
            </w:tcBorders>
            <w:noWrap w:val="0"/>
            <w:tcMar>
              <w:top w:w="60" w:type="dxa"/>
              <w:left w:w="120" w:type="dxa"/>
              <w:bottom w:w="30" w:type="dxa"/>
              <w:right w:w="120" w:type="dxa"/>
            </w:tcMar>
            <w:vAlign w:val="center"/>
          </w:tcPr>
          <w:p w14:paraId="30FEDF22">
            <w:pPr>
              <w:pStyle w:val="4"/>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default" w:ascii="仿宋_GB2312" w:hAnsi="仿宋_GB2312" w:eastAsia="仿宋_GB2312" w:cs="仿宋_GB2312"/>
                <w:b w:val="0"/>
                <w:bCs w:val="0"/>
                <w:color w:val="auto"/>
                <w:sz w:val="30"/>
                <w:szCs w:val="30"/>
                <w:lang w:val="en-US" w:eastAsia="zh-CN"/>
              </w:rPr>
            </w:pPr>
            <w:r>
              <w:rPr>
                <w:rFonts w:hint="eastAsia" w:ascii="仿宋_GB2312" w:hAnsi="仿宋_GB2312" w:eastAsia="仿宋_GB2312" w:cs="仿宋_GB2312"/>
                <w:b w:val="0"/>
                <w:bCs w:val="0"/>
                <w:color w:val="auto"/>
                <w:sz w:val="30"/>
                <w:szCs w:val="30"/>
                <w:lang w:val="en-US" w:eastAsia="zh-CN"/>
              </w:rPr>
              <w:t>2</w:t>
            </w:r>
          </w:p>
        </w:tc>
      </w:tr>
    </w:tbl>
    <w:p w14:paraId="032440A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转出人数不限。</w:t>
      </w:r>
    </w:p>
    <w:p w14:paraId="4E89406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二、工作流程</w:t>
      </w:r>
    </w:p>
    <w:p w14:paraId="33BC081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学生报名</w:t>
      </w:r>
    </w:p>
    <w:p w14:paraId="6F76A34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黑体" w:hAnsi="黑体" w:eastAsia="黑体" w:cs="黑体"/>
          <w:sz w:val="32"/>
          <w:szCs w:val="32"/>
          <w:lang w:val="en-US" w:eastAsia="zh-CN"/>
        </w:rPr>
      </w:pPr>
      <w:r>
        <w:rPr>
          <w:rFonts w:hint="eastAsia" w:ascii="仿宋_GB2312" w:hAnsi="仿宋_GB2312" w:eastAsia="仿宋_GB2312" w:cs="仿宋_GB2312"/>
          <w:sz w:val="32"/>
          <w:szCs w:val="32"/>
        </w:rPr>
        <w:t>学生需提交如下书面材料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广西中医药大学本科学生转专业申请表，家长身份证复印件、家长知情同意书，于9月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日12:00前</w:t>
      </w:r>
      <w:r>
        <w:rPr>
          <w:rFonts w:hint="eastAsia" w:ascii="仿宋_GB2312" w:hAnsi="仿宋_GB2312" w:eastAsia="仿宋_GB2312" w:cs="仿宋_GB2312"/>
          <w:sz w:val="32"/>
          <w:szCs w:val="32"/>
          <w:highlight w:val="none"/>
        </w:rPr>
        <w:t>交至</w:t>
      </w:r>
      <w:r>
        <w:rPr>
          <w:rFonts w:hint="eastAsia" w:ascii="仿宋_GB2312" w:hAnsi="仿宋_GB2312" w:eastAsia="仿宋_GB2312" w:cs="仿宋_GB2312"/>
          <w:sz w:val="32"/>
          <w:szCs w:val="32"/>
          <w:highlight w:val="none"/>
          <w:lang w:val="en-US" w:eastAsia="zh-CN"/>
        </w:rPr>
        <w:t>自诚楼A802</w:t>
      </w:r>
      <w:r>
        <w:rPr>
          <w:rFonts w:hint="eastAsia" w:ascii="仿宋_GB2312" w:hAnsi="仿宋_GB2312" w:eastAsia="仿宋_GB2312" w:cs="仿宋_GB2312"/>
          <w:sz w:val="32"/>
          <w:szCs w:val="32"/>
          <w:highlight w:val="none"/>
        </w:rPr>
        <w:t>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未按时提交纸质材料的申请视为自动放弃转专业。</w:t>
      </w:r>
    </w:p>
    <w:p w14:paraId="035029A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二</w:t>
      </w:r>
      <w:r>
        <w:rPr>
          <w:rFonts w:hint="eastAsia" w:ascii="楷体" w:hAnsi="楷体" w:eastAsia="楷体" w:cs="楷体"/>
          <w:sz w:val="32"/>
          <w:szCs w:val="32"/>
        </w:rPr>
        <w:t>）转专业考核</w:t>
      </w:r>
    </w:p>
    <w:p w14:paraId="7D8FBDC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1.笔试：笔试时间、地点以</w:t>
      </w:r>
      <w:r>
        <w:rPr>
          <w:rFonts w:hint="eastAsia" w:ascii="仿宋_GB2312" w:hAnsi="仿宋_GB2312" w:eastAsia="仿宋_GB2312" w:cs="仿宋_GB2312"/>
          <w:sz w:val="32"/>
          <w:szCs w:val="32"/>
          <w:lang w:val="en-US" w:eastAsia="zh-CN"/>
        </w:rPr>
        <w:t>学校文件</w:t>
      </w:r>
      <w:r>
        <w:rPr>
          <w:rFonts w:hint="eastAsia" w:ascii="仿宋_GB2312" w:hAnsi="仿宋_GB2312" w:eastAsia="仿宋_GB2312" w:cs="仿宋_GB2312"/>
          <w:sz w:val="32"/>
          <w:szCs w:val="32"/>
        </w:rPr>
        <w:t>通知为准。不参加笔试的视为放弃转专业，不得进入面试。</w:t>
      </w:r>
    </w:p>
    <w:p w14:paraId="0A1F82D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2.面试：面试采取结构化面试形式，重点考察学生对拟转入学院及学科的认知程度、原有专业知识基础、个人综合素质等内容。面试顺序由考生现场随机抽签确定。面试入围比例按1:3</w:t>
      </w:r>
      <w:bookmarkStart w:id="0" w:name="_GoBack"/>
      <w:bookmarkEnd w:id="0"/>
      <w:r>
        <w:rPr>
          <w:rFonts w:hint="eastAsia" w:ascii="仿宋_GB2312" w:hAnsi="仿宋_GB2312" w:eastAsia="仿宋_GB2312" w:cs="仿宋_GB2312"/>
          <w:sz w:val="32"/>
          <w:szCs w:val="32"/>
        </w:rPr>
        <w:t>设置；若报名人数未达到该比例，则按实际有效报名人数组织面试。面试最终考核成绩为全体考官的平均分。</w:t>
      </w:r>
    </w:p>
    <w:p w14:paraId="173B57F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面试时间、地点：另行通知。</w:t>
      </w:r>
    </w:p>
    <w:p w14:paraId="337A984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3.成绩计算与接收标准</w:t>
      </w:r>
    </w:p>
    <w:p w14:paraId="2229C77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（1）成绩计算：笔试与面试成绩各占50%，合计为最终成绩。</w:t>
      </w:r>
    </w:p>
    <w:p w14:paraId="78C99D6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（2）接收标准：按申请转入年级分别排序，以最终成绩由高到低确定拟转入学生名单。如学生在面试结束后放弃转专业的，转专业名额不再递补。面试分数低于60分则不予录取。</w:t>
      </w:r>
    </w:p>
    <w:p w14:paraId="36FB9E2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若最终成绩相同，则按以下顺序优先录取：</w:t>
      </w:r>
    </w:p>
    <w:p w14:paraId="5551843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学年所有课程无不及格记录者优先。</w:t>
      </w:r>
    </w:p>
    <w:p w14:paraId="612A5CF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②如均无不及格记录，总成绩相同者，以面试成绩高者优先。</w:t>
      </w:r>
    </w:p>
    <w:p w14:paraId="33F230B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三</w:t>
      </w:r>
      <w:r>
        <w:rPr>
          <w:rFonts w:hint="eastAsia" w:ascii="楷体" w:hAnsi="楷体" w:eastAsia="楷体" w:cs="楷体"/>
          <w:sz w:val="32"/>
          <w:szCs w:val="32"/>
        </w:rPr>
        <w:t>）结果公布</w:t>
      </w:r>
    </w:p>
    <w:p w14:paraId="3A0EE8F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接收学生名单和考核结果经学院党政联席会议等院级会议审议通过后予以公示，公示期为3个工作日。公示期内有异议的学院将进行调查，并将调查情况提交学院党政联席会议等院级会议形成意见并处理。公示无异议的拟接收学生名单经院长签署意见后提交教务处。</w:t>
      </w:r>
    </w:p>
    <w:p w14:paraId="2DBFEA9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三、其他</w:t>
      </w:r>
      <w:r>
        <w:rPr>
          <w:rFonts w:hint="eastAsia" w:ascii="黑体" w:hAnsi="黑体" w:eastAsia="黑体" w:cs="黑体"/>
          <w:sz w:val="32"/>
          <w:szCs w:val="32"/>
          <w:lang w:val="en-US" w:eastAsia="zh-CN"/>
        </w:rPr>
        <w:t>事宜</w:t>
      </w:r>
    </w:p>
    <w:p w14:paraId="2DDA6FC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未尽事宜</w:t>
      </w:r>
      <w:r>
        <w:rPr>
          <w:rFonts w:hint="eastAsia" w:ascii="仿宋_GB2312" w:hAnsi="仿宋_GB2312" w:eastAsia="仿宋_GB2312" w:cs="仿宋_GB2312"/>
          <w:sz w:val="32"/>
          <w:szCs w:val="32"/>
          <w:lang w:val="en-US" w:eastAsia="zh-CN"/>
        </w:rPr>
        <w:t>按</w:t>
      </w:r>
      <w:r>
        <w:rPr>
          <w:rFonts w:hint="eastAsia" w:ascii="仿宋_GB2312" w:hAnsi="仿宋_GB2312" w:eastAsia="仿宋_GB2312" w:cs="仿宋_GB2312"/>
          <w:sz w:val="32"/>
          <w:szCs w:val="32"/>
        </w:rPr>
        <w:t>照广西中医药大学本科学生转专业管理实施细则（2025年修订）》（桂中医大教务〔2025〕</w:t>
      </w:r>
      <w:r>
        <w:rPr>
          <w:rFonts w:hint="eastAsia" w:ascii="仿宋_GB2312" w:hAnsi="仿宋_GB2312" w:eastAsia="仿宋_GB2312" w:cs="仿宋_GB2312"/>
          <w:sz w:val="32"/>
          <w:szCs w:val="32"/>
          <w:lang w:val="en-US" w:eastAsia="zh-CN"/>
        </w:rPr>
        <w:t>108</w:t>
      </w:r>
      <w:r>
        <w:rPr>
          <w:rFonts w:hint="eastAsia" w:ascii="仿宋_GB2312" w:hAnsi="仿宋_GB2312" w:eastAsia="仿宋_GB2312" w:cs="仿宋_GB2312"/>
          <w:sz w:val="32"/>
          <w:szCs w:val="32"/>
        </w:rPr>
        <w:t>号）执行，由</w:t>
      </w:r>
      <w:r>
        <w:rPr>
          <w:rFonts w:hint="eastAsia" w:ascii="仿宋_GB2312" w:hAnsi="仿宋_GB2312" w:eastAsia="仿宋_GB2312" w:cs="仿宋_GB2312"/>
          <w:sz w:val="32"/>
          <w:szCs w:val="32"/>
          <w:lang w:eastAsia="zh-CN"/>
        </w:rPr>
        <w:t>公共卫生与管理</w:t>
      </w:r>
      <w:r>
        <w:rPr>
          <w:rFonts w:hint="eastAsia" w:ascii="仿宋_GB2312" w:hAnsi="仿宋_GB2312" w:eastAsia="仿宋_GB2312" w:cs="仿宋_GB2312"/>
          <w:sz w:val="32"/>
          <w:szCs w:val="32"/>
        </w:rPr>
        <w:t>学院教务办公室、学生工作办公室负责解释。</w:t>
      </w:r>
    </w:p>
    <w:p w14:paraId="61E6701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李</w:t>
      </w:r>
      <w:r>
        <w:rPr>
          <w:rFonts w:hint="eastAsia" w:ascii="仿宋_GB2312" w:hAnsi="仿宋_GB2312" w:eastAsia="仿宋_GB2312" w:cs="仿宋_GB2312"/>
          <w:sz w:val="32"/>
          <w:szCs w:val="32"/>
          <w:highlight w:val="none"/>
          <w:lang w:val="en-US" w:eastAsia="zh-CN"/>
        </w:rPr>
        <w:t>忠友</w:t>
      </w:r>
      <w:r>
        <w:rPr>
          <w:rFonts w:hint="eastAsia" w:ascii="仿宋_GB2312" w:hAnsi="仿宋_GB2312" w:eastAsia="仿宋_GB2312" w:cs="仿宋_GB2312"/>
          <w:sz w:val="32"/>
          <w:szCs w:val="32"/>
          <w:highlight w:val="none"/>
        </w:rPr>
        <w:t>，联系电话</w:t>
      </w:r>
      <w:r>
        <w:rPr>
          <w:rFonts w:hint="eastAsia" w:ascii="仿宋_GB2312" w:hAnsi="仿宋_GB2312" w:eastAsia="仿宋_GB2312" w:cs="仿宋_GB2312"/>
          <w:sz w:val="32"/>
          <w:szCs w:val="32"/>
          <w:highlight w:val="none"/>
          <w:lang w:val="en-US" w:eastAsia="zh-CN"/>
        </w:rPr>
        <w:t>19163730015，0771-4928360</w:t>
      </w:r>
      <w:r>
        <w:rPr>
          <w:rFonts w:hint="eastAsia" w:ascii="仿宋_GB2312" w:hAnsi="仿宋_GB2312" w:eastAsia="仿宋_GB2312" w:cs="仿宋_GB2312"/>
          <w:sz w:val="32"/>
          <w:szCs w:val="32"/>
          <w:highlight w:val="none"/>
        </w:rPr>
        <w:t>。</w:t>
      </w:r>
    </w:p>
    <w:p w14:paraId="746BDE9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p>
    <w:p w14:paraId="7F152DD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p>
    <w:p w14:paraId="11AB929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公共卫生与管理</w:t>
      </w:r>
      <w:r>
        <w:rPr>
          <w:rFonts w:hint="eastAsia" w:ascii="仿宋_GB2312" w:hAnsi="仿宋_GB2312" w:eastAsia="仿宋_GB2312" w:cs="仿宋_GB2312"/>
          <w:sz w:val="32"/>
          <w:szCs w:val="32"/>
        </w:rPr>
        <w:t>学院</w:t>
      </w:r>
    </w:p>
    <w:p w14:paraId="7208F603">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E9E6A27-978E-4050-A171-13ACA1B492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0010101010101"/>
    <w:charset w:val="86"/>
    <w:family w:val="auto"/>
    <w:pitch w:val="default"/>
    <w:sig w:usb0="00000001" w:usb1="080E0000" w:usb2="00000000" w:usb3="00000000" w:csb0="00040000" w:csb1="00000000"/>
    <w:embedRegular r:id="rId2" w:fontKey="{C2CD69A1-E0F2-4324-B96A-9A90169B7EBE}"/>
  </w:font>
  <w:font w:name="仿宋_GB2312">
    <w:panose1 w:val="02010609030101010101"/>
    <w:charset w:val="86"/>
    <w:family w:val="auto"/>
    <w:pitch w:val="default"/>
    <w:sig w:usb0="00000001" w:usb1="080E0000" w:usb2="00000000" w:usb3="00000000" w:csb0="00040000" w:csb1="00000000"/>
    <w:embedRegular r:id="rId3" w:fontKey="{374BB475-783F-4A37-B666-866AB80F4C9F}"/>
  </w:font>
  <w:font w:name="楷体">
    <w:panose1 w:val="02010609060101010101"/>
    <w:charset w:val="86"/>
    <w:family w:val="auto"/>
    <w:pitch w:val="default"/>
    <w:sig w:usb0="800002BF" w:usb1="38CF7CFA" w:usb2="00000016" w:usb3="00000000" w:csb0="00040001" w:csb1="00000000"/>
    <w:embedRegular r:id="rId4" w:fontKey="{52AA53E2-425D-443F-80ED-9C4A605FC2A3}"/>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652C9"/>
    <w:rsid w:val="11C2089D"/>
    <w:rsid w:val="15670C17"/>
    <w:rsid w:val="1CED61DF"/>
    <w:rsid w:val="1F2B0641"/>
    <w:rsid w:val="25891872"/>
    <w:rsid w:val="2D571C63"/>
    <w:rsid w:val="45BA084B"/>
    <w:rsid w:val="49E47FCE"/>
    <w:rsid w:val="4B3C4CB1"/>
    <w:rsid w:val="52344504"/>
    <w:rsid w:val="56FD5545"/>
    <w:rsid w:val="5A944F4A"/>
    <w:rsid w:val="5C865C92"/>
    <w:rsid w:val="5E124B37"/>
    <w:rsid w:val="66CE732B"/>
    <w:rsid w:val="6B2464E1"/>
    <w:rsid w:val="7208490C"/>
    <w:rsid w:val="771D2F4F"/>
    <w:rsid w:val="7B810197"/>
    <w:rsid w:val="7F691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922</Words>
  <Characters>1009</Characters>
  <Lines>0</Lines>
  <Paragraphs>0</Paragraphs>
  <TotalTime>2</TotalTime>
  <ScaleCrop>false</ScaleCrop>
  <LinksUpToDate>false</LinksUpToDate>
  <CharactersWithSpaces>1069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2025-11-19T13:42:00Z</dcterms:created>
  <dc:creator>Administrator</dc:creator>
  <cp:lastModifiedBy>罗婕</cp:lastModifiedBy>
  <cp:lastPrinted>2025-11-19T13:50:00Z</cp:lastPrinted>
  <dcterms:modified xsi:type="dcterms:W3CDTF">2026-09-17T11:21:33Z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eyJoZGlkIjoiZWQ1NmI2ODc4ZTU2ODJjMjA0OWNkZGNhZTczZTE5MzkiLCJ1c2VySWQiOiIzNjA3MTMwNTEifQ==</vt:lpwstr>
  </property>
  <property fmtid="{D5CDD505-2E9C-101B-9397-08002B2CF9AE}" pid="4" name="ICV">
    <vt:lpwstr>27E1ABB560F54EE9BC7B9990C969B82E_13</vt:lpwstr>
  </property>
</Properties>
</file>