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457E5E">
      <w:pPr>
        <w:spacing w:line="520" w:lineRule="exact"/>
        <w:jc w:val="left"/>
        <w:outlineLvl w:val="0"/>
        <w:rPr>
          <w:rFonts w:hint="eastAsia" w:ascii="宋体" w:hAnsi="宋体" w:eastAsia="宋体" w:cs="宋体"/>
          <w:b/>
          <w:bCs/>
          <w:kern w:val="0"/>
          <w:sz w:val="30"/>
          <w:szCs w:val="30"/>
          <w:shd w:val="clear" w:color="auto" w:fill="FFFFFF"/>
        </w:rPr>
      </w:pPr>
      <w:r>
        <w:rPr>
          <w:rFonts w:hint="eastAsia" w:ascii="宋体" w:hAnsi="宋体" w:eastAsia="宋体" w:cs="宋体"/>
          <w:b/>
          <w:bCs/>
          <w:kern w:val="0"/>
          <w:sz w:val="30"/>
          <w:szCs w:val="30"/>
          <w:shd w:val="clear" w:color="auto" w:fill="FFFFFF"/>
        </w:rPr>
        <w:t>附件1：功能参数</w:t>
      </w:r>
    </w:p>
    <w:p w14:paraId="7105D507">
      <w:pPr>
        <w:spacing w:line="520" w:lineRule="exact"/>
        <w:jc w:val="both"/>
        <w:outlineLvl w:val="0"/>
        <w:rPr>
          <w:rFonts w:hint="default" w:ascii="宋体" w:hAnsi="宋体" w:eastAsia="宋体" w:cs="宋体"/>
          <w:b/>
          <w:bCs/>
          <w:kern w:val="0"/>
          <w:sz w:val="30"/>
          <w:szCs w:val="30"/>
          <w:shd w:val="clear" w:color="auto" w:fill="FFFFFF"/>
          <w:lang w:val="en-US" w:eastAsia="zh-CN"/>
        </w:rPr>
      </w:pPr>
      <w:r>
        <w:rPr>
          <w:rFonts w:hint="eastAsia" w:ascii="宋体" w:hAnsi="宋体" w:eastAsia="宋体" w:cs="宋体"/>
          <w:b/>
          <w:bCs/>
          <w:kern w:val="0"/>
          <w:sz w:val="30"/>
          <w:szCs w:val="30"/>
          <w:shd w:val="clear" w:color="auto" w:fill="FFFFFF"/>
          <w:lang w:val="en-US" w:eastAsia="zh-CN"/>
        </w:rPr>
        <w:t>第一部分 技术要求</w:t>
      </w:r>
    </w:p>
    <w:tbl>
      <w:tblPr>
        <w:tblStyle w:val="13"/>
        <w:tblW w:w="14522" w:type="dxa"/>
        <w:tblInd w:w="-29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4"/>
        <w:gridCol w:w="1337"/>
        <w:gridCol w:w="2751"/>
        <w:gridCol w:w="7353"/>
        <w:gridCol w:w="737"/>
        <w:gridCol w:w="831"/>
        <w:gridCol w:w="709"/>
      </w:tblGrid>
      <w:tr w14:paraId="6119A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blHeader/>
        </w:trPr>
        <w:tc>
          <w:tcPr>
            <w:tcW w:w="8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3192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序号</w:t>
            </w:r>
          </w:p>
        </w:tc>
        <w:tc>
          <w:tcPr>
            <w:tcW w:w="1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B39B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系统名称</w:t>
            </w:r>
          </w:p>
        </w:tc>
        <w:tc>
          <w:tcPr>
            <w:tcW w:w="27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9EFD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系统模块名称</w:t>
            </w:r>
          </w:p>
        </w:tc>
        <w:tc>
          <w:tcPr>
            <w:tcW w:w="7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0D45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技术参数及性能配置要求</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7A29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单位</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EA2D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数量</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2B94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b/>
                <w:bCs/>
                <w:i w:val="0"/>
                <w:iCs w:val="0"/>
                <w:color w:val="000000"/>
                <w:sz w:val="24"/>
                <w:szCs w:val="24"/>
                <w:u w:val="none"/>
              </w:rPr>
            </w:pPr>
            <w:r>
              <w:rPr>
                <w:rFonts w:hint="eastAsia" w:ascii="方正仿宋_GB2312" w:hAnsi="方正仿宋_GB2312" w:eastAsia="方正仿宋_GB2312" w:cs="方正仿宋_GB2312"/>
                <w:b/>
                <w:bCs/>
                <w:i w:val="0"/>
                <w:iCs w:val="0"/>
                <w:color w:val="000000"/>
                <w:kern w:val="0"/>
                <w:sz w:val="24"/>
                <w:szCs w:val="24"/>
                <w:u w:val="none"/>
                <w:lang w:val="en-US" w:eastAsia="zh-CN" w:bidi="ar"/>
              </w:rPr>
              <w:t>备注</w:t>
            </w:r>
          </w:p>
        </w:tc>
      </w:tr>
      <w:tr w14:paraId="3AE19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3F1C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w:t>
            </w:r>
          </w:p>
        </w:tc>
        <w:tc>
          <w:tcPr>
            <w:tcW w:w="13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628CC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项目管理系统一期</w:t>
            </w: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202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协同办公</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（必选，处内OA流转）</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617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流程定义，我的发起，我的待办，流程审核，流程统计。</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98F0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E4D0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E1BA0">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54B2F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B9240">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61761">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1A30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前期管理</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（立项+报批报建）</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BDDA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项目立项（项目信息登记、项目建议书、项目可研报告）+报批报建（各类政府报批报建）+前期文档归档</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F148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6D08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1D91">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61D8A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08387">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F1BF4">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8970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设计管理</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46F1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设计的全过程管理（设计任务、设计招标、设计图纸的审核和成果交付...归档）</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F2C1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FFE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26F85">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1624F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B0AE0">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84D88">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A1CF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招标采购</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（勘察+设计+监理+建设+服务）</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843F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招标采购申请+招标结果登记...归档</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0DB5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7EF8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F30D7">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64F85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DCC6C">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DEDD5">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3E20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合同管理</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CA30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合同登记维护+合同变更(以现场的“签证洽商"为依据)+合同事务(暂停、终止、作废)</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52CA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F6FB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74E29">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71C6A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D01B0">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AB9BB">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AF93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现场/实施（进度管理、监理日志、质量管理、安全管理、变更管理）</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1F26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变更管理(设计变更单、项目联系单、签证洽商单);监理日志；进度管理、监理日志；质量管理；安全管理(业主、设计、监理、施工多方应用、联合操作）</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7FA5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FF75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4DBCD">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207F2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CB260">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040D2">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6CA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支付管理</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（预付、进度、验收、质保）</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6E8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预付款、进度款、结算款、质保金等款项的支付管理</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ED7B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7177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85A47">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7348B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5422E">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C7DBE">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BDF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竣工验收</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B8A7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各类验收表格登记--归档(多方应用录入)+验收文档</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E039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1F50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F5F3E">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74196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FB3FF">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E76B7">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766E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完工结算</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39F4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合同完工结算(对整个项目发生的签证洽商单，没有计入合同变更的，最后完整提交合同变更。)，后面就是决算审核。</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FBED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0FDB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C1A7A">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65E3E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59139">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295E2">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012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资产移交</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7D8E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资产登记申请和资产入库登记</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0C83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5096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1B32B">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5AEA4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6B830">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DB337">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3AB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文档管理（项目全过程附件文档归档，档案库和档案借阅和查询管理）</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296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文档档案(按照目录归档、维护、借还、权限和检索)</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EFC9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E426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BF35A">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56706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9B129">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65646">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EB18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手机移动办公（企业微信）</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EF05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OA审批(移动审批)+远程办公(多方应用，现场录入)+考勤</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55FA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5FC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F3A50">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5423F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4B607">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0F85D">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4A91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超融合计算服务器</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0BD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一、超融合计算服务器硬件要求</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▲1.CPU:配置≥2颗X86 (2.2GHz/24核)处理器，单颗CPU48线程；</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▲2.内存：配置≥256GB DDR5 内存，最大支持≥24根内存插槽；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3.硬盘：提供≥12个硬盘槽位，本次配置≥2块480GB SSD硬盘做系统盘，配置≥2块3.2TB  NVME SSD做缓存盘，提供≥6块18TB HDD硬盘做数据盘；</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4.Raid卡：配置≥1块12Gb 2端口Raid卡，支持RAID0/1/5/6/10；</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5.网卡：配置≥4端口万兆光接口（含万兆多模光模块），配置4个千兆电接口；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6.PCI I/O插槽：提供≥10个PCIE4.0速率插槽；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7.GPU卡：最大支持≥4张双宽GPU卡或≥11张单宽GPU卡；</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8.电源风扇：配置2个白金级电源模块和4个可拔插散热风扇，单电源功率≥1200W；</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9.接口：提供≥3个USB3.0接口；标配1个VGA；支持后部独立的管理端口；标配1个串口；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10.3D温度展示：支持3D温度海洋形式展示各组件温度传感器的分布图，可让用户直观感知服务器整体温感状态；</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11.质保：提供≥3年服务器硬件质保及软件升级服务。</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二、超融合平台要求</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▲1.提供≥2颗超融合管理平台、≥2颗存储虚拟化功能授权，提供≥2颗计算虚拟化功能授权，提供3年软件远程技术支持服务；与现网H3C UIS兼容，可实现查询虚拟机迁移历史记录功能，记录中包含迁移的操作员、迁移方式、源主机、目的主机、开始时间、迁移耗时等信息；</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2.设备自动发现：新上线设备可基于链路层协议与管理节点交互，被管理节点自动发现，然后配置IP地址以及主机名等信息；IP地址自动分配，为发现的设备分配IP地址；</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3.拓扑管理：支持对整个平台实现网络拓扑管理，支持在网络拓扑页面查看当前网络配置、增删虚拟交换机、增删虚拟网卡、增删虚拟防火墙、操作虚拟机、防火墙关联虚拟机网卡；</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4.节点选择：可以指定主机角色为存储型、计算型、超融合型，同一个集群内三种类型主机可以任意组合，满足用户各种应用场景，并更好的应对用户资源使用不均衡的情况下对资源的灵活扩容；</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5.虚拟机操作：支持创建、删除、克隆虚拟机，支持虚拟机快照、性能监控、虚拟机的KVM；</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6.支持纠删码特性，支持3+1或4+2的纠删码保护；</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7.支持虚拟机桌面预览功能，无需登录虚拟机即可在虚拟化管理平台上看到虚拟机当前桌面的状态；</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8.硬盘寿命检测：支持实时展示SSD固态硬盘寿命信息，以百分比展示SSD固态硬盘剩余寿命，提醒用户及时更换硬盘，保证客户业务的可连续性；</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9.应用监控：支持从超融合管理平台扩展应用监控服务组件，应用监控服务基于预置的监控模板，提供应用的实时监控告警管理服务能力，包括操作系统（Windows、CentOS、RHEL、Ubuntu、SUSE、AIX和HP-UX），数据库（MySQL、Oracle、达梦MPP、Redis和MongoDB），中间件（Tomcat、Apache、Weblogic、RabbitMQ、WebSphere），Url、Ping站点和Kubernetes的应用监控；</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10.支持虚拟机磁盘残留数据安全擦除：杜绝虚拟机销毁后的物理磁盘残留导致的敏感数据泄露；虚拟机内存残留数据安全擦除：杜绝虚拟机关闭/销毁后的机器内存残留导致的敏感数据泄露；</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11.服务器利旧：支持利旧服务器，主机发现后通过将旧服务器用作计算节点加入到集群中，能够共享超融合集群的存储资源；</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12.支持厚/精简配置；厚配置根据业务需求分配固定的物理存储空间、精简配置根据应用实际写需要时才分配相应的物理存储空间、块存储支持快照功能，可支持创建可写快照；</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13.支持多种块存储协议，包括iscsi，RBD块存储协议，支持卷拷贝，支持卷一致组；</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14 支持按需分配实际物理磁盘空间，最大限度提升存储空间利用率，是解决存储超配供给需求的最有效方式；</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15.支持故障域和保护域设置，故障域为机柜时，能够实现整机柜故障，数据不丢失，业务不中断；</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16.支持IO读写SSD Cache功能，提升存储性能，支持写Cache的节点故障保障，当节点故障或宕机时，写Cache内的数据不丢失；</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★17.支持应用HA高可靠功能，可以增加应用监控的策略，通过自动重启虚拟机或者自定义命令行等操作提供应用的可靠性；提供功能截图或者第三方测试报告截图证明；</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18.支持通过B/S管理界面对存储基础架构进行集中的配置，如存储资源池、集群、集群节点、磁盘等资源进行合理的划分和配置。</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883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08F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B4F5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参考品牌：新华三、超聚变、联想</w:t>
            </w:r>
          </w:p>
        </w:tc>
      </w:tr>
      <w:tr w14:paraId="449B4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9D53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w:t>
            </w:r>
          </w:p>
        </w:tc>
        <w:tc>
          <w:tcPr>
            <w:tcW w:w="13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AB40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智能餐饮管理系统</w:t>
            </w: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492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AI智能结算体</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316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(1)利用AI图像视觉识别技术，自动完成菜品识别和计价，全程无需人工介入，实现无感结算；</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(2)识别算法支持菜品识别、单品数量识别、餐盘识别三种模式，不受餐盘种类且无须芯片置入；</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(3)（选配）支持菜品餐盘混合识别；</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(4)（选配）支持本地化菜品识别、餐盘识别；</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(5)菜品识别速度不大于1s，且识别率不低于99.6%。餐盘叠加时仍可精准识别，餐盘和托盘颜色相近也可以准确识别；</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(6)重新识别功能：当识别有误时，提供重新识别的操作功能；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(7)（选配）支持动态菜品识别，未结算前可直接加菜换菜，系统自动触发再次进行识别并计价，中途无需干预操作；</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(8)（选配）支持就餐人员菜品未放在托盘上进行识别；</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(9)支持人脸识别、支付宝、微信、刷卡等多种支付方式；</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(10)支持与现有一卡通系统进行对接；</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(11)（选配）支持离线人脸支付；</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(12)支持菜品纠正功能，可对单个/多个菜品进行纠正操作；</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(13)菜品维护功能，根据后台已维护的菜品通过日期，餐别等维度在设备上进行展示；</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(14)挂单/取单功能：为便利服务商服务客户，结算时支持对订单进行挂单/取单；</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(15)今日菜品维护：菜谱列表中可选择当天的供应菜品，可通过日期，餐别等维度在设备上进行展示；</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(16)快速收银模式：自定义金额快速收银结算；</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(17)固定收银模式：定额扣款结算；</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(18)修改菜品价格：菜品价格调整；支持当餐或全时段调整；</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(19)浏览式点餐模式：手动选择菜品进行收银结算；</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(20)退款：对上笔订单进行退款，退款的金额原路返回；</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(21)呼叫服务员：如出现操作上或系统上的问题时可以利用该功能呼叫服务员进行处置；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（22）当日营业数据查看：可查看当前设备或当前分店的经营数据，支持报表统计和导出等功能。</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5D6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88D4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7FAA2">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006A7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25CE4">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5FD13">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DA87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电子台账</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31A8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日管控：</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通过电子台账上报方式实现餐厅日管控管理，制定每日工作上报检查机制，将现有餐厅产生的所有非设备自动采集的台账数据通过平台进行人工上报，支持一键复制上报、上报图片水印管理，建立有效的食安工作监管机制。支持自定义电子台账上报规则和内容，创建相关台账上报任务，执行电子台账的上报和统计管理，未上报预提提醒。</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6FE6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项</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294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F4127">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22665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B9C24">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3B4F7">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7F57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食堂巡检</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88A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周排查：</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通过巡检模块实现餐厅每周问题排查，制定食堂巡检的内容管理，制定食堂服务、人员工作标准，支持细化定义，对食堂检查的复杂周期、执行时间、检查对象、检查内容以及标准细节进行定义，建立食堂定期检查管理体系。可以实现食堂自检自查和突击检查巡检的任务管理。支持发布和查看检查任务、自定义检查内容，可根据检查情况，依次对每个检查项进行评分，支持对不合格检查项生成问题整改单，问题整改完成后可跟进审核复查，实现每周排查食堂工作问题情况闭环。</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E097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项</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8F77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A77D4">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09CB1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BBE3A">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12CB8">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0781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智能留样柜软件</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805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可发起菜品留样，根据登录人身份判断用户所属部门后，可进行菜品留样，留样人选择留样部门、留样餐次后，可从菜品库添加菜品，菜品库可在系统后台自行定义，也可以直接在根据排餐计划选择留样菜品，支持输入菜品留样份数，支持对每道菜品点击称重，将留样菜品放入到留样柜秤盘上后，系统自动读取称重重量，支持累计多次称重，并自动记录在系统中。</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生成留样记录后，拥有权限的留样人可在留样柜进行人脸识别，认证通过后可展示已创建留样待入柜的留样菜品，可依次将菜品放入留样冰箱中，并记录留样入柜时间。</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在后台查看留样柜入柜视频。当达到设置的留存时间后，可通过人脸识别进行取样。可查看各个食堂部门下所有的留样记录，包括每道菜品对应的留样时间、留样状态、留存时间、结束时间、留样照片、留样重量。</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多种条件检索留样记录。在系统后台，可实现菜品留样数据分析，展示当日留样、当前留样、今日取样等数据，可实现单品留样排行、餐次留样排行，支持按日、周、月等维度分析汇总。可查看留样明细数据，查看留样部门、留样餐次、留样人、留样菜品、留样份数、留样克数、留样点位、留样时间、结束时间、留存时间、状态等数据，支持多种条件查询展示，可导出。支持留样菜品到期提醒。</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B70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1F92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AA221">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541F0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170EA">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9BB03">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CFE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库管小秘书</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E32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入库数据查看：支持联动不同入库模式，在库管小秘书中跟过滤查看不同入库模式的单据数据，涵盖手动入库、拆分入库、调拨入库、出库入库、加工入库、报溢入库、其他入库；</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出库数据管理：支持在库管小秘书上查看领用部门对库管商品出库单据，持查看单据明细，包括食堂领用者与采购中心仓库管理员分别对单据的电子签字及单据详细字段。包括领用人、领用时间、领用商品及批次、数量、出库仓库等；并且支持根据出库商品信息查看商品入库信息的入库批次详情。</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在库管小秘书上查看各个仓库的当前仓库库存数据。可实时查看当前仓库每个商品的库存量，可按时间维度查看每个商品在仓库的历史操作记录，包括操作人、操作类型（入库、出库、报损、报溢、加工、拆分、调拨、消耗生产）、操作时间、数量、对应的单价、即时库存记录等。仓库中的商品按照批次维度进行管理，不同时间采购相同商品入库批次不同。可在库管小秘书上查看入库后的每个批次商品被经过加工、调拨、报损、报溢、退货、出库的操作明细记录信息。</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56B2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73A0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9866F">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690AF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D1EF0">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CFB7D">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5195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AI行为分析管理平台</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312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支持视频接入协议：rtsp协议|国标协议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行为分析——智能功能(任选20种加载使用)：人像抓拍/识别、区域入侵（支持行人、机动车、非机动车）、人员数量超限、区域人数统计、绊线人数统计、预置标记检测、进入区域、离开区域、越界检测；明火检测、烟雾检测、逃生通道阻塞、物品搬移、鼠患检测、犬类识别（未牵狗绳检测、违规时间遛狗、只抓拍大型犬）、裸土未覆盖、物料乱堆放、未盖垃圾桶检测、垃圾桶满溢、暴露垃圾、打包垃圾、充电枪未归位检测、灭火器遗失检测、渣土车未盖篷布检测、漏油检测、漏水检测、漏气检测、试纸变色检测、入梯检测（电瓶车）、动物入侵检测（野猪、熊类、老虎、其他）、地面积水检测、动火离人检测、客梯运货、未关灯检测、排队过长检测、煤气罐检测；未戴安全帽检测、未穿工作服检测、未穿反光衣检测、未戴口罩检测、赤膊检测、未穿厨师服检测、未戴厨师帽检测、未穿安全背带检测、未系安全绳检测、未戴护目镜检测、未戴防护手套检测、未戴防尘/防毒面具检测、长发外露检测；睡岗检测、离岗检测、吸烟检测、打电话检测、玩手机检测、跌倒检测、攀高检测、逗留检测、打架检测、人员聚集、快速移动检测、多人作业检测、手持刀棍检测、手部检测、行人逆行检测、扶梯逆行检测；机动车违停、非机动车违停、车辆未清洗检测（车辆未清洗、车辆绕行躲避清洗、车辆清洗水量不足）、园区车辆超速检测、叉车超速检测、叉车检测、卸油检测（引车入位、轮挡放置、安全操作、安全装置放置、油品接卸、卸后确认、人员值守）、车辆进出车位检测、园区出入口车辆抓拍、园区车辆拥堵检测、违规散装加油、工程车辆检测；道路施工检测、抛洒物检测、交通事故检测、车辆缓行检测、车辆驶离检测、车辆拥堵检测、起雾检测、异常停车检测、非机动车禁闯检测、占用应急车道检测、行人禁闯检测、车辆逆行检测、路面积雪检测、高速烟火、交通参数（车流量（辆/min）、平均车速（km/h）、车道时间占有率（%）、车道空间占有率（%）、车头时距（ms）、车头间距（m）、排队长度（m）、交通状态）；</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支持人脸库数量：128个；人脸库总库容：10W</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支持工服库数量：8个；工服库总库容：单个库容50张图片，总库容400张图片</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支持报警图片存储性能：最多支持15w张告警图片（含硬盘）；报警视频存储性能：最多支持15w条告警短视频（含硬盘）</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BB60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6283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BCC0">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6A739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FE94F">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120B1">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901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扫码消费机</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0707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支持现有M1、CPU卡，支持NFC卡；</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支持扫码支付包括：新中新小灵龙APP、微信、支付宝、银联（支持第三方二维码支付，与一卡通系统一致）；</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支持10/100兆自适应以太网通讯；</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白名单数量达到100万，本机流水数量2万；</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工作模式：联网模式、脱机模式</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支持远程在线升级、脱机程序升级</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支持一个RS232电平串口，提供标准的PTPE对接通讯协议；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支持继电器输出，包括常开、常闭以及公共端；</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支持实时时钟，实现准确计时；</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支持三色指示灯，分别指示不同工作状态；</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支持蜂鸣器，指示交易结果；</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支持100种身份限制功能，支持100种费率；</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通过网关管理程序的设置，实现定额交易；</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通过网关管理程序的设置，实现身份工作模式；</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提供PC工具，实现自检以及协助第三方厂家的开发；</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支持一个恢复出厂设置按钮；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支持WEB页面以及PC工具进行参数设置；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产品特点</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采用嵌入式壳体设计，壳体小巧，便于嵌入其他设备；</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与普通收款机差异：提供一个串口替代键盘和显示，方便嵌入第三方设备；</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支持二维码扫码支付：与一卡通系统支持的一致；</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支持定额消费模式：刷卡、扫码支付与食堂POS一致，当支付成功时，串口输出交易结果，同时继电器有输出动作；</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身份工作模式，此模式使用卡秘钥对卡进行认证并读取卡内容，通过白名单验证IC卡的有效性，在线验证二维码的有效性，以实现门禁功能（卡有效时，继电器有输出动作，串口输出对应的卡号及其他账户信息）；</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3D5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3F6F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6770F">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4D458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C7D21">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C0EFC">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47A8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超融合交换机</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0D8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一、单台配置要求</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▲1.业务接口：配置≥32个万兆SFP+口，≥4个40/100GE QSFP28端口；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2.管理接口：提供≥1个RJ-45 Console口和≥1个USB 接口、≥1个以太网管理口；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3.电源风扇：提供≥2个电源槽位，以及≥2个风扇槽位，配置≥2块交流电源模块，配置≥2个风扇模块。</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二、 技术参数要求</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1.性能：交换容量≥4.8Tbps；包转发率≥1620Mpps，若以上参数有两个值，按照最小值计算；</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2.三层特性：支持RIPv1/v2，RIPng,OSPFv1/v2，OSPFv3,BGP4，BGP4+ for IPv6；</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3.可靠性:支持BFD FOR VRRP功能，支持RRPP（快速环网保护协议）、Smartlink、RSTP、MSTP、PVST，收敛恢复时间不超过50ms；</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4.QOS:支持L2（Layer 2）-L4（Layer 4）包过滤功能，提供基于源MAC地址、目的MAC地址、源IP(IPv4/IPv6)地址、目的IP(IPv4/IPv6)地址、端口、协议、VLAN的流分类；</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5.智能管理：包括切换设备角色、网络拓扑收集、配置出接口和以太网链路全自动聚合等功能；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6.智能运维：包括升级成员设备、批量备份配置文件、一键部署VLAN、端口智能识别、资源监控和替换故障设备等功能；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7.虚拟化技术：可将两台物理设备虚拟化为一台逻辑设备,最大支持4台物理设备虚拟化为一台逻辑设备，虚拟组内可以实现一致的转发表项，统一的管理，跨物理设备的链路聚合；</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8.支持融合AC功能，无需额外配置AC，有线无线一体化管理；</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9.满足以上端口需求后，提供业务板扩展插槽≥2个，可扩展40/100GE QSFP28接口端口≥4个；</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10.支持拓展防火墙插卡；</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11.质保：提供≥3年设备软硬件免费质保。</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054C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A8A8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93F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参考品牌：新华三、超聚变、联想</w:t>
            </w:r>
          </w:p>
        </w:tc>
      </w:tr>
      <w:tr w14:paraId="4BB24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B388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w:t>
            </w:r>
          </w:p>
        </w:tc>
        <w:tc>
          <w:tcPr>
            <w:tcW w:w="13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8113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智能电控管理系统</w:t>
            </w: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CAE0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单相电子式电能表单片机软件</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162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1.计量功能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本产品可计量主副通道电能以及总电能。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2.输出功能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2.1电能表采用无源隔离型电量脉冲输出接口，脉冲输出波形为矩形波。</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2.2电能表具有电量脉冲输出指示功能，脉冲指示为红色LED发光二极管。</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3. 485通讯功能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可使用PC机通过485通讯的方式对电能表进行参数设置、抄收当前电量、设置恶性负载参数及负荷参数等集抄集控功能（波特率1200bps）。</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4.双回路控制功能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可使用485方式对主副通道（插座通道和照明通道）分别进行控制，实现管理部门对电表不同通道的分开管理控制功能。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5.预付费功能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可使用485方式对电表设置是否启用预付费方式。设置为预付费方式的电表，可通过485进行购电操作。</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6.恶性负载检测功能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可使用485方式对电表设置是否启用恶性负载检测功能及相关恶性负荷门限值。设置了恶性负载检测功能启用的电表，可按照设定的门限值检测用户恶性负载电器使用状态，限制恶性电器使用。</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0D3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828D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1171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458C4">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44BEB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FD421">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4DF2F">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5812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智能平台配套定制开发</w:t>
            </w:r>
          </w:p>
        </w:tc>
        <w:tc>
          <w:tcPr>
            <w:tcW w:w="7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37EB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满足学校现有多校区智能平台及硬件配套接入纯定制开发</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AB9B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套</w:t>
            </w:r>
          </w:p>
        </w:tc>
        <w:tc>
          <w:tcPr>
            <w:tcW w:w="8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6CEF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5CE9C">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r>
      <w:tr w14:paraId="2FF88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3118E">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D5E72">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D9D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智能电控终端</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F027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1、▲执行标准：GB/T 17215.211-2021 电测量（交流） 通用要求、试验和试验条件 第11部分：测量设备</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GB/T 17215.321-2021 电测量设备（交流） 特殊要求 第21部分：静止式有功电能表（A级、B级、C级、D级和E级）</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2、准确度等级：B级；</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3、通讯协议：DL/T 645-1997；</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4、▲电流规格：220V  0.2-0.5（40）A；</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5、工作电压：80%Unom -- 110%Unom</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6、工作环境：工作温度：规定工作温度范围为－25℃～＋60℃</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工作极限温度范围为－40℃～＋70℃</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相对湿度：≤95%（无凝露）</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 xml:space="preserve">7、▲ 功耗：有功功耗≤0.25W </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8、▲计量回路 ：一进二出</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9、▲防尘试验：试验等级达到 IP5X(提供防尘第三方检验或试验报告）。</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10、▲防水试验：试验防水等级达到 IPX4 (提供防尘第三方检验或试验报告）。</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11、▲温度限值及耐热：电能表端子金属部分的温度不超过 90℃（提供第三方检验或试验报告）</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12、▲耐受长期过电压：电能表耐受 1.9Unom 的最大耐受电压4h 能够正常工作且试验后无损坏（提供第三方检验或试验报告）。</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 xml:space="preserve"> 13、远程预付费和本地预付费：电能表应同时具备远程预付费和本地预付费功能，两种模式可以根据管理需要随时转换。</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电表在预付费模式时，控制由电表本身实现，网络不通情况下欠费不影响电表断电。电表内自动结算计费、扣费，用户预存电费、无费断电。</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14、计量与计费功能：电能表具有正向、反向计量，其中反向电量计入正向电量。</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15、通讯接口：参与投标的电表须具备RS485通讯接口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16、充值功能：（1 系统须同时具备人工充值和自助充值两种模式。</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 人工充值模式：管理员在管理电脑上选中要充值的寝室，输入相应金额，可对单个或多个宿舍进行充值；也可以批量充值，将已缴费宿舍及金额编辑成XLS文档，导入该文档进行批量充值。适用于现金交费充值。</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（3 自助充值模式：学生通过校园一卡通系统的圈存机及微信进行自助缴费，缴费成功后系统自动实时地将一卡通内的金额或银行账户金额自动结转到公寓用电系统中，并自动实时地存入相应的电表账户中。</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（4 收费金额或补助金额存入账号和电表冲正余额后，系统自动打开电闸。并能打印收费单据。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17、退费功能：当学生毕业时或者整体搬迁时，如电表内仍有余额，可以将预缴金额（非补助金额）退还学生，然后将电表余额自动“归零”</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18、换表功能：当某一个电表发生故障需要更换时，可配合系统实现换表功能，记录旧表底数和新表底数并自动结算旧表数据和费用。</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19、远程监控与通断电：能远程实时监测各设备的运行状况， 远程控制通断电，可通过电脑下发命令对某一个或某一些房间进行通断电控制。</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20、恶性负载限制：电能表可自动识别恶性负载，系统可成批地对全部或部分电表进行设置，也可单独地对个别电表进行设置。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该功能自动识别电表负载中的恶性负载，每次恶性负载跳闸后，在一定时间后自动合闸（可设置1-99分钟），每天超过一定次数后不再自动合闸（次数可设置），须由计算机远程控制合闸或次日零时自动合闸。</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21、总功率限制：电能表可实现总功率限制，系统可成批地对全部或部分电表进行设置，也可单独地对个别电表进行设置。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当表内负荷超过设定的最大功率阀值时，电表自动跳闸，在一定时间后自动合闸（可设置1-99分钟）。</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22、保电功能：电表应具有保电功能，当保电功能启用后，无论何种情况下电表都不会跳闸断电，供特殊管理情况下使用。</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 xml:space="preserve">23、▲为保证学校今后智慧后勤的统一管理，本次采购的设备须与学校现有一卡通系统平台（厂家：新中新，型号：V4.0）兼容，对接所涉及的费用由供应商承担，由供应商自行与一卡通厂家沟通。需投标人提供对上述内容作出的兼容性承诺书，验收时要求提供对接的证明。  </w:t>
            </w:r>
          </w:p>
        </w:tc>
        <w:tc>
          <w:tcPr>
            <w:tcW w:w="7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C9E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台</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0F84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1171</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17246">
            <w:pPr>
              <w:keepNext w:val="0"/>
              <w:keepLines w:val="0"/>
              <w:pageBreakBefore w:val="0"/>
              <w:kinsoku/>
              <w:wordWrap/>
              <w:overflowPunct/>
              <w:topLinePunct w:val="0"/>
              <w:autoSpaceDE/>
              <w:autoSpaceDN/>
              <w:bidi w:val="0"/>
              <w:adjustRightInd w:val="0"/>
              <w:snapToGrid w:val="0"/>
              <w:rPr>
                <w:rFonts w:hint="eastAsia" w:ascii="方正仿宋_GB2312" w:hAnsi="方正仿宋_GB2312" w:eastAsia="方正仿宋_GB2312" w:cs="方正仿宋_GB2312"/>
                <w:i w:val="0"/>
                <w:iCs w:val="0"/>
                <w:color w:val="000000"/>
                <w:sz w:val="24"/>
                <w:szCs w:val="24"/>
                <w:u w:val="none"/>
              </w:rPr>
            </w:pPr>
          </w:p>
        </w:tc>
      </w:tr>
      <w:tr w14:paraId="02347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F8735">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44835">
            <w:pPr>
              <w:keepNext w:val="0"/>
              <w:keepLines w:val="0"/>
              <w:pageBreakBefore w:val="0"/>
              <w:kinsoku/>
              <w:wordWrap/>
              <w:overflowPunct/>
              <w:topLinePunct w:val="0"/>
              <w:autoSpaceDE/>
              <w:autoSpaceDN/>
              <w:bidi w:val="0"/>
              <w:adjustRightInd w:val="0"/>
              <w:snapToGrid w:val="0"/>
              <w:jc w:val="center"/>
              <w:rPr>
                <w:rFonts w:hint="eastAsia" w:ascii="方正仿宋_GB2312" w:hAnsi="方正仿宋_GB2312" w:eastAsia="方正仿宋_GB2312" w:cs="方正仿宋_GB2312"/>
                <w:i w:val="0"/>
                <w:iCs w:val="0"/>
                <w:color w:val="000000"/>
                <w:sz w:val="24"/>
                <w:szCs w:val="24"/>
                <w:u w:val="none"/>
              </w:rPr>
            </w:pPr>
          </w:p>
        </w:tc>
        <w:tc>
          <w:tcPr>
            <w:tcW w:w="2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E24C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实名制认证系统</w:t>
            </w:r>
          </w:p>
        </w:tc>
        <w:tc>
          <w:tcPr>
            <w:tcW w:w="7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364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一、宽带业务支撑管理系统</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 xml:space="preserve">▲1.支持信创操作系统和数据库，提供软件著作权证书，证书名称应能体现“宽带业务支撑管理”或“宽带运营管理”等核心功能，认证系统内支持管理用户数≥70000； </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2.为方便移动终端使用，要求厂商提供移动终端客户端供用户选用，客户端须具备 Wi-Fi 接入连接、认证上网、故障报修、蓝牙开门锁、自助服务等功能，认证 APP 客户端需符合教育移动互联网应用程序备案管理。同时符合信息系统安全等级保护管理办法。</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3.支持哑终端MAC批量管理，哑终端绑定授权人，配置哑终端无感知认证，可查看哑终端在线状态；老师账号可自助导入本人管理的哑终端设备：可在管理页面上由教工上网账号导入哑终端EXCEL文件，教工只能查看自己管理的设备，超级管理员可以管理所有设备；</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4.支持多运营商账号开通配置，支持账号域名后缀自定义，可勾选多个上网套餐提供用户自选开通，支持接入设备按厂家自定义Radius私有属性：可在管理页面上添加RADIUS私有属性功能，支持华为、中兴、华三、RouterOS、motorola、优科、锐捷、傲天、juniper、REDBaCK、爱立信、Aruba、思科、meru、信锐、汉明、环创、迪普、Panabit、阿尔卡特、极进网络、CASA等厂家标准属性及私有属性下发；</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5.支持根据VLAN、用户IP、设备IP、设备端口、用户MAC等定义白名单、黑名单、无线区域，支持黑白名单功能，白名单上网不计费，黑名单不允许认证，白名单上网终端数不计入帐号正常的终端控制数；</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6.支持无感知认证，并可自定无感知上网的时间，超过指定时间需重新认证；</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7.支持账号开户，账号缴费/续费自动分配运营商PPPoE账号;支持同一账号指定手机和PC同时登录数量；支持根据账号配置共享控制;支持自定义时段，时段可分为免费时段，准入时段，时段带宽等，并可根据IP地址段，VLAN等定义时段生效区域；</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 xml:space="preserve">8.支持账号自注册，可设置学号和工号作为主账号，支持审核开户，缴费开户，上传电脑/手机端注册指引，可勾选多个上网套餐提供用户自选，注册字段自定义配置，短信/邮件发送开户通知; </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9.支持访客自注册配置，包括访客账号有效时长，访客二维码有效时间，开户量限制，录入字段自定义配置;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10.支持固定账号、短信认证、微信认证、微信+手机捆绑认证等多种认证方式；</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11.支持区域自定义，不同套餐的账号在不同区域可自定义不同的上网权限，如学生在宿舍区域可以打游戏，在教学区域不允许；支持运营商报错信息Portal页面中文转移展示，支持在线用户，上网清单，认证日志等显示账号上网的区域，支持在线记录展示（WEB认证、PPPoE认证、无感知认证等）认证方式；支持强制下线、禁止认证、网管停用进行共享控制；支持实时通过微信公众号向用户推送上、下线，强制下线等消息。</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二、认证页面管理系统</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▲12.支持信创操作系统和数据库；支持旁路部署，支持虚拟机部署，系统必须基于标准PORTAL1.0、PORTAL2.0协议规范，支持Wispr协议，至少支持两种数据；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13.支持Portal开通账号，可选择注册开通，登录开通，多运营商开通等方式，注册开通支持审核开通和缴费开通；</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14.支持第三方认证，支持SSO，身份源等平台通过Http Api协议对接校验登录；</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15.支持Portal页面可配置忘记密码，修改密码，信息补录，清除MAC功能，支持Portal页面可定义自助管理，网络报修，统一身份认证等自定义url跳</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16.支持Portal设置三层无感知认证，可配置DHCP服务地址，通过三层网络进行MAC发起无感知认证</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17.支持按照不同的SSID/NASIP/VLAN/IP地址段及NASID+SSID/VLAN/IP组合方式精准推送Portal页面，支持无感知认证模式下，推送web页面通知，用户在页面确认后不再推送同一广告内容；</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18.支持Portal页面绑定问卷调查功能，实现问卷调查后优惠措施支持一份问卷多个问题调查，一个问题多个选项，并支持单选和多选；</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19.支持用户自助操作实现开户、密码修改、充值、清单查询、运营商账号密码绑定、预约变更套餐组等功能；支持微信、支付宝、通联、移动云支付、卡充值、一卡通充值、富友支付、E家支付等在线缴。</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三、用户接入服务管理系统</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20.支持性能：2U可上架，SFP+万兆光口≥8个，千兆电口≥6个，带宽处理能力≥30Gbps，每秒新建连接数≥70万,会话数≥800万，并发终端数≥20000；支持信创操作系统和数据库，提供软件著作权证书，证书名称应能体现“用户接入服务”等核心功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21.支持NFV技术体系，实现设备硬件标准化和通用化支持但不限于在通用X86服务器下完成部署，支持所有功能全WEB管理配置；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22.支持标准radius协议，支持web，pppoe认证;支持桥接和路由部署模式，支持一键免认证和一键取消免认证；</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23.支持L2TP和GRE隧道接入，并能进行用户限速和分流，支持大二层同时支持supervlan接入，实现多vlan同网关；</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24.支持Vlan透传，并可以定义是否认证后才透传</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25.支持NAT功能，能指定源IP转换成指定的目的IP，能过滤某个源IP不做NAT，能指定NAT地址池中的某个IP只用于DNAT而不用于SNAT；支持按账号和应用进行分流，自定义路由策略优先组；</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26.支持Web Portal认证转PPPoE认证模式，内网认证为Web Portal认证，向上为PPPoE认证，即代拨模式，支持代拨模式下用户每次拨号生成的虚拟mac值固定不变；</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27.支持每周内按天任意设置用户可上网时段，支持相同账号不同终端共享带宽，各终端带宽总和不高于套餐带宽上；支持域名黑/白名单，IPv4/IPv6黑/白名单，端口黑/白名单；</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28.支持IPv4/IPv6静态路由、策略路由；策略路由支持PPPoE多线路群组，每个线路可根据线路带宽和会话数智能选路负载，支持自定义IP组，域名组，自带移动电信联通等多家运营商IP库，可根据运营商IP库、IP组、域名组进行路由策略定义。</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29.提供硬件软件三年免费质保。</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AC2E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auto"/>
                <w:sz w:val="24"/>
                <w:szCs w:val="24"/>
                <w:u w:val="none"/>
              </w:rPr>
            </w:pPr>
            <w:r>
              <w:rPr>
                <w:rFonts w:hint="eastAsia" w:ascii="方正仿宋_GB2312" w:hAnsi="方正仿宋_GB2312" w:eastAsia="方正仿宋_GB2312" w:cs="方正仿宋_GB2312"/>
                <w:i w:val="0"/>
                <w:iCs w:val="0"/>
                <w:color w:val="auto"/>
                <w:kern w:val="0"/>
                <w:sz w:val="24"/>
                <w:szCs w:val="24"/>
                <w:u w:val="none"/>
                <w:lang w:val="en-US" w:eastAsia="zh-CN" w:bidi="ar"/>
              </w:rPr>
              <w:t>台</w:t>
            </w:r>
          </w:p>
        </w:tc>
        <w:tc>
          <w:tcPr>
            <w:tcW w:w="8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104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259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参考品牌：石斧/城市热点/深澜</w:t>
            </w:r>
          </w:p>
        </w:tc>
      </w:tr>
    </w:tbl>
    <w:p w14:paraId="3DE18575">
      <w:pPr>
        <w:spacing w:line="520" w:lineRule="exact"/>
        <w:jc w:val="both"/>
        <w:outlineLvl w:val="0"/>
        <w:rPr>
          <w:rFonts w:hint="default" w:ascii="宋体" w:hAnsi="宋体" w:eastAsia="宋体" w:cs="宋体"/>
          <w:b/>
          <w:bCs/>
          <w:kern w:val="0"/>
          <w:sz w:val="32"/>
          <w:szCs w:val="32"/>
          <w:shd w:val="clear" w:color="auto" w:fill="FFFFFF"/>
          <w:lang w:val="en-US" w:eastAsia="zh-CN"/>
        </w:rPr>
      </w:pPr>
      <w:r>
        <w:rPr>
          <w:rFonts w:hint="eastAsia" w:ascii="宋体" w:hAnsi="宋体" w:eastAsia="宋体" w:cs="宋体"/>
          <w:b/>
          <w:bCs/>
          <w:kern w:val="0"/>
          <w:sz w:val="32"/>
          <w:szCs w:val="32"/>
          <w:shd w:val="clear" w:color="auto" w:fill="FFFFFF"/>
          <w:lang w:val="en-US" w:eastAsia="zh-CN"/>
        </w:rPr>
        <w:t>第二部分 商务要求</w:t>
      </w:r>
    </w:p>
    <w:tbl>
      <w:tblPr>
        <w:tblStyle w:val="13"/>
        <w:tblW w:w="4687"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092"/>
        <w:gridCol w:w="10983"/>
      </w:tblGrid>
      <w:tr w14:paraId="0ABE1C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00" w:type="pct"/>
            <w:tcBorders>
              <w:top w:val="single" w:color="auto" w:sz="4" w:space="0"/>
              <w:left w:val="single" w:color="auto" w:sz="4" w:space="0"/>
              <w:right w:val="single" w:color="auto" w:sz="4" w:space="0"/>
            </w:tcBorders>
            <w:noWrap w:val="0"/>
            <w:vAlign w:val="center"/>
          </w:tcPr>
          <w:p w14:paraId="3AD1A92C">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rPr>
                <w:rFonts w:hint="eastAsia" w:ascii="宋体" w:hAnsi="宋体" w:cs="宋体"/>
                <w:bCs/>
                <w:color w:val="auto"/>
                <w:szCs w:val="21"/>
                <w:highlight w:val="none"/>
              </w:rPr>
            </w:pPr>
            <w:r>
              <w:rPr>
                <w:rFonts w:hint="eastAsia" w:ascii="宋体" w:hAnsi="宋体" w:cs="宋体"/>
                <w:bCs/>
                <w:color w:val="auto"/>
                <w:szCs w:val="21"/>
                <w:highlight w:val="none"/>
              </w:rPr>
              <w:t>▲售后服务要求</w:t>
            </w:r>
          </w:p>
        </w:tc>
        <w:tc>
          <w:tcPr>
            <w:tcW w:w="4199" w:type="pct"/>
            <w:tcBorders>
              <w:top w:val="single" w:color="auto" w:sz="4" w:space="0"/>
              <w:left w:val="single" w:color="auto" w:sz="4" w:space="0"/>
              <w:bottom w:val="single" w:color="auto" w:sz="4" w:space="0"/>
              <w:right w:val="single" w:color="auto" w:sz="4" w:space="0"/>
            </w:tcBorders>
            <w:noWrap w:val="0"/>
            <w:vAlign w:val="top"/>
          </w:tcPr>
          <w:p w14:paraId="3656BCEC">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outlineLvl w:val="0"/>
              <w:rPr>
                <w:rFonts w:hint="eastAsia" w:ascii="宋体" w:hAnsi="宋体" w:cs="宋体"/>
                <w:bCs/>
                <w:color w:val="auto"/>
                <w:szCs w:val="21"/>
                <w:highlight w:val="none"/>
              </w:rPr>
            </w:pPr>
            <w:r>
              <w:rPr>
                <w:rFonts w:hint="eastAsia" w:ascii="宋体" w:hAnsi="宋体" w:cs="宋体"/>
                <w:bCs/>
                <w:color w:val="auto"/>
                <w:szCs w:val="21"/>
                <w:highlight w:val="none"/>
              </w:rPr>
              <w:t>一、货物质量承诺</w:t>
            </w:r>
          </w:p>
          <w:p w14:paraId="7D118531">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outlineLvl w:val="0"/>
              <w:rPr>
                <w:rFonts w:hint="eastAsia" w:ascii="宋体" w:hAnsi="宋体" w:cs="宋体"/>
                <w:bCs/>
                <w:color w:val="auto"/>
                <w:szCs w:val="21"/>
                <w:highlight w:val="none"/>
              </w:rPr>
            </w:pPr>
            <w:r>
              <w:rPr>
                <w:rFonts w:hint="eastAsia" w:ascii="宋体" w:hAnsi="宋体" w:cs="宋体"/>
                <w:bCs/>
                <w:color w:val="auto"/>
                <w:szCs w:val="21"/>
                <w:highlight w:val="none"/>
              </w:rPr>
              <w:t>供应商保证提供的全部货物（含更换零配件）为全新、完整、未使用过的正品；所有货物质保期为3年，自项目最终验收合格之日起计算，严格执行国家产品“三包”规定。</w:t>
            </w:r>
          </w:p>
          <w:p w14:paraId="0AB3EA66">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outlineLvl w:val="0"/>
              <w:rPr>
                <w:rFonts w:hint="eastAsia" w:ascii="宋体" w:hAnsi="宋体" w:cs="宋体"/>
                <w:bCs/>
                <w:color w:val="auto"/>
                <w:szCs w:val="21"/>
                <w:highlight w:val="none"/>
              </w:rPr>
            </w:pPr>
            <w:r>
              <w:rPr>
                <w:rFonts w:hint="eastAsia" w:ascii="宋体" w:hAnsi="宋体" w:cs="宋体"/>
                <w:bCs/>
                <w:color w:val="auto"/>
                <w:szCs w:val="21"/>
                <w:highlight w:val="none"/>
              </w:rPr>
              <w:t>二、质保与运维服务（3 年，与质保期同步）</w:t>
            </w:r>
          </w:p>
          <w:p w14:paraId="4272935F">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outlineLvl w:val="0"/>
              <w:rPr>
                <w:rFonts w:hint="eastAsia" w:ascii="宋体" w:hAnsi="宋体" w:cs="宋体"/>
                <w:bCs/>
                <w:color w:val="auto"/>
                <w:szCs w:val="21"/>
                <w:highlight w:val="none"/>
              </w:rPr>
            </w:pPr>
            <w:r>
              <w:rPr>
                <w:rFonts w:hint="eastAsia" w:ascii="宋体" w:hAnsi="宋体" w:cs="宋体"/>
                <w:bCs/>
                <w:color w:val="auto"/>
                <w:szCs w:val="21"/>
                <w:highlight w:val="none"/>
              </w:rPr>
              <w:t>1.质保期内，正常使用下出现故障，供应商无偿上门维修、免费更换故障零部件，保障系统稳定运行；质保期外提供终身技术支持，仅收取配件成本费。</w:t>
            </w:r>
          </w:p>
          <w:p w14:paraId="580C97F7">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outlineLvl w:val="0"/>
              <w:rPr>
                <w:rFonts w:hint="eastAsia" w:ascii="宋体" w:hAnsi="宋体" w:cs="宋体"/>
                <w:bCs/>
                <w:color w:val="auto"/>
                <w:szCs w:val="21"/>
                <w:highlight w:val="none"/>
              </w:rPr>
            </w:pPr>
            <w:r>
              <w:rPr>
                <w:rFonts w:hint="eastAsia" w:ascii="宋体" w:hAnsi="宋体" w:cs="宋体"/>
                <w:bCs/>
                <w:color w:val="auto"/>
                <w:szCs w:val="21"/>
                <w:highlight w:val="none"/>
              </w:rPr>
              <w:t>2.3年免费运维服务期内：①项目交付后提供不少于3个月现场驻场服务，驻场人员每日在岗不少于6小时；其余驻场服务与质保期联动；采购人将考核驻场时长，驻场不达标不予通过项目验收。②常态化安排1名运维人员按需驻场，按采购人要求开展例行维护与系统故障处置。</w:t>
            </w:r>
          </w:p>
          <w:p w14:paraId="0F66ADEB">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outlineLvl w:val="0"/>
              <w:rPr>
                <w:rFonts w:hint="eastAsia" w:ascii="宋体" w:hAnsi="宋体" w:cs="宋体"/>
                <w:bCs/>
                <w:color w:val="auto"/>
                <w:szCs w:val="21"/>
                <w:highlight w:val="none"/>
              </w:rPr>
            </w:pPr>
            <w:r>
              <w:rPr>
                <w:rFonts w:hint="eastAsia" w:ascii="宋体" w:hAnsi="宋体" w:cs="宋体"/>
                <w:bCs/>
                <w:color w:val="auto"/>
                <w:szCs w:val="21"/>
                <w:highlight w:val="none"/>
              </w:rPr>
              <w:t>3.供应商在国内设有专业售后服务机构及专职工程师，全程负责设备安装、调试、培训、验收与维修工作。</w:t>
            </w:r>
          </w:p>
          <w:p w14:paraId="6BA35008">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outlineLvl w:val="0"/>
              <w:rPr>
                <w:rFonts w:hint="eastAsia" w:ascii="宋体" w:hAnsi="宋体" w:cs="宋体"/>
                <w:bCs/>
                <w:color w:val="auto"/>
                <w:szCs w:val="21"/>
                <w:highlight w:val="none"/>
              </w:rPr>
            </w:pPr>
            <w:r>
              <w:rPr>
                <w:rFonts w:hint="eastAsia" w:ascii="宋体" w:hAnsi="宋体" w:cs="宋体"/>
                <w:bCs/>
                <w:color w:val="auto"/>
                <w:szCs w:val="21"/>
                <w:highlight w:val="none"/>
              </w:rPr>
              <w:t>三、供货、安装、培训与资料交付</w:t>
            </w:r>
          </w:p>
          <w:p w14:paraId="475EC011">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outlineLvl w:val="0"/>
              <w:rPr>
                <w:rFonts w:hint="eastAsia" w:ascii="宋体" w:hAnsi="宋体" w:cs="宋体"/>
                <w:bCs/>
                <w:color w:val="auto"/>
                <w:szCs w:val="21"/>
                <w:highlight w:val="none"/>
              </w:rPr>
            </w:pPr>
            <w:r>
              <w:rPr>
                <w:rFonts w:hint="eastAsia" w:ascii="宋体" w:hAnsi="宋体" w:cs="宋体"/>
                <w:bCs/>
                <w:color w:val="auto"/>
                <w:szCs w:val="21"/>
                <w:highlight w:val="none"/>
              </w:rPr>
              <w:t>1. 供应商承担全部运输费用，免费送货上门，由技术人员现场完成安装、调试、技术指导；在使用地免费培训操作人员，使其熟练掌握设备操作与日常维护。</w:t>
            </w:r>
          </w:p>
          <w:p w14:paraId="11290E89">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outlineLvl w:val="0"/>
              <w:rPr>
                <w:rFonts w:hint="eastAsia" w:ascii="宋体" w:hAnsi="宋体" w:cs="宋体"/>
                <w:bCs/>
                <w:color w:val="auto"/>
                <w:szCs w:val="21"/>
                <w:highlight w:val="none"/>
              </w:rPr>
            </w:pPr>
            <w:r>
              <w:rPr>
                <w:rFonts w:hint="eastAsia" w:ascii="宋体" w:hAnsi="宋体" w:cs="宋体"/>
                <w:bCs/>
                <w:color w:val="auto"/>
                <w:szCs w:val="21"/>
                <w:highlight w:val="none"/>
              </w:rPr>
              <w:t>2. 设备性能达标后，供需双方共同签字现场验收。验收合格后 3 个日历日内，供应商须完整移交全部技术资料并存档备案，资料包含：布局图、走线图、合格证、使用说明书、服务手册、技术参数清单、部件型号清单等全套文件。</w:t>
            </w:r>
          </w:p>
          <w:p w14:paraId="3FB49979">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outlineLvl w:val="0"/>
              <w:rPr>
                <w:rFonts w:hint="eastAsia" w:ascii="宋体" w:hAnsi="宋体" w:cs="宋体"/>
                <w:bCs/>
                <w:color w:val="auto"/>
                <w:szCs w:val="21"/>
                <w:highlight w:val="none"/>
              </w:rPr>
            </w:pPr>
            <w:r>
              <w:rPr>
                <w:rFonts w:hint="eastAsia" w:ascii="宋体" w:hAnsi="宋体" w:cs="宋体"/>
                <w:bCs/>
                <w:color w:val="auto"/>
                <w:szCs w:val="21"/>
                <w:highlight w:val="none"/>
              </w:rPr>
              <w:t>四、故障维修响应机制</w:t>
            </w:r>
          </w:p>
          <w:p w14:paraId="578AD5FD">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outlineLvl w:val="0"/>
              <w:rPr>
                <w:rFonts w:hint="eastAsia" w:ascii="宋体" w:hAnsi="宋体" w:cs="宋体"/>
                <w:bCs/>
                <w:color w:val="auto"/>
                <w:szCs w:val="21"/>
                <w:highlight w:val="none"/>
              </w:rPr>
            </w:pPr>
            <w:r>
              <w:rPr>
                <w:rFonts w:hint="eastAsia" w:ascii="宋体" w:hAnsi="宋体" w:cs="宋体"/>
                <w:bCs/>
                <w:color w:val="auto"/>
                <w:szCs w:val="21"/>
                <w:highlight w:val="none"/>
              </w:rPr>
              <w:t>1.设立7×24小时维修专线：接到报修后0.5小时内响应，2小时内抵达现场，4小时内排除故障；夜间故障同等执行上门服务，同时提供24小时线上远程运维。</w:t>
            </w:r>
          </w:p>
          <w:p w14:paraId="79C2067B">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outlineLvl w:val="0"/>
              <w:rPr>
                <w:rFonts w:hint="eastAsia" w:ascii="宋体" w:hAnsi="宋体" w:cs="宋体"/>
                <w:bCs/>
                <w:color w:val="auto"/>
                <w:szCs w:val="21"/>
                <w:highlight w:val="none"/>
              </w:rPr>
            </w:pPr>
            <w:r>
              <w:rPr>
                <w:rFonts w:hint="eastAsia" w:ascii="宋体" w:hAnsi="宋体" w:cs="宋体"/>
                <w:bCs/>
                <w:color w:val="auto"/>
                <w:szCs w:val="21"/>
                <w:highlight w:val="none"/>
              </w:rPr>
              <w:t>2.免费更换缺陷货物及零部件，确保12小时内恢复系统正常运行；若无法及时修复，须第一时间出具应急处置方案。</w:t>
            </w:r>
          </w:p>
          <w:p w14:paraId="4B7B5FCF">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outlineLvl w:val="0"/>
              <w:rPr>
                <w:rFonts w:hint="eastAsia" w:ascii="宋体" w:hAnsi="宋体" w:cs="宋体"/>
                <w:bCs/>
                <w:color w:val="auto"/>
                <w:szCs w:val="21"/>
                <w:highlight w:val="none"/>
              </w:rPr>
            </w:pPr>
            <w:r>
              <w:rPr>
                <w:rFonts w:hint="eastAsia" w:ascii="宋体" w:hAnsi="宋体" w:cs="宋体"/>
                <w:bCs/>
                <w:color w:val="auto"/>
                <w:szCs w:val="21"/>
                <w:highlight w:val="none"/>
              </w:rPr>
              <w:t>五、现场管理与安全责任</w:t>
            </w:r>
          </w:p>
          <w:p w14:paraId="714F8710">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outlineLvl w:val="0"/>
              <w:rPr>
                <w:rFonts w:hint="eastAsia" w:ascii="宋体" w:hAnsi="宋体" w:cs="宋体"/>
                <w:bCs/>
                <w:color w:val="auto"/>
                <w:szCs w:val="21"/>
                <w:highlight w:val="none"/>
              </w:rPr>
            </w:pPr>
            <w:r>
              <w:rPr>
                <w:rFonts w:hint="eastAsia" w:ascii="宋体" w:hAnsi="宋体" w:cs="宋体"/>
                <w:bCs/>
                <w:color w:val="auto"/>
                <w:szCs w:val="21"/>
                <w:highlight w:val="none"/>
              </w:rPr>
              <w:t>1.供应商须遵守采购人管理制度，服从现场管理，文明施工、保持场地整洁；安装完工后及时清理现场，落实安全防护措施。</w:t>
            </w:r>
          </w:p>
          <w:p w14:paraId="08AD05F8">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outlineLvl w:val="0"/>
              <w:rPr>
                <w:rFonts w:hint="default" w:ascii="宋体" w:hAnsi="宋体" w:eastAsia="宋体" w:cs="宋体"/>
                <w:color w:val="auto"/>
                <w:highlight w:val="none"/>
                <w:lang w:val="en-US" w:eastAsia="zh-CN"/>
              </w:rPr>
            </w:pPr>
            <w:r>
              <w:rPr>
                <w:rFonts w:hint="eastAsia" w:ascii="宋体" w:hAnsi="宋体" w:cs="宋体"/>
                <w:bCs/>
                <w:color w:val="auto"/>
                <w:szCs w:val="21"/>
                <w:highlight w:val="none"/>
              </w:rPr>
              <w:t>2.若因供应商违规操作造成采购人人身、财产损失，由其全额承担赔偿责任；合同履约期间，供应商人员发生的一切人身伤亡事故，全部由供应商自行承担法律责任与经济赔偿。</w:t>
            </w:r>
          </w:p>
        </w:tc>
      </w:tr>
      <w:tr w14:paraId="4AF0CE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00" w:type="pct"/>
            <w:tcBorders>
              <w:top w:val="single" w:color="auto" w:sz="4" w:space="0"/>
              <w:left w:val="single" w:color="auto" w:sz="4" w:space="0"/>
              <w:bottom w:val="single" w:color="auto" w:sz="4" w:space="0"/>
              <w:right w:val="single" w:color="auto" w:sz="4" w:space="0"/>
            </w:tcBorders>
            <w:noWrap w:val="0"/>
            <w:vAlign w:val="center"/>
          </w:tcPr>
          <w:p w14:paraId="7A6D3DB9">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rPr>
                <w:rFonts w:hint="eastAsia" w:ascii="宋体" w:hAnsi="宋体" w:cs="宋体"/>
                <w:bCs/>
                <w:color w:val="auto"/>
                <w:szCs w:val="21"/>
                <w:highlight w:val="none"/>
              </w:rPr>
            </w:pPr>
            <w:r>
              <w:rPr>
                <w:rFonts w:hint="eastAsia" w:ascii="宋体" w:hAnsi="宋体" w:cs="宋体"/>
                <w:bCs/>
                <w:color w:val="auto"/>
                <w:szCs w:val="21"/>
                <w:highlight w:val="none"/>
              </w:rPr>
              <w:t>▲交付时间及地点</w:t>
            </w:r>
          </w:p>
        </w:tc>
        <w:tc>
          <w:tcPr>
            <w:tcW w:w="4199" w:type="pct"/>
            <w:tcBorders>
              <w:top w:val="single" w:color="auto" w:sz="4" w:space="0"/>
              <w:left w:val="single" w:color="auto" w:sz="4" w:space="0"/>
              <w:bottom w:val="single" w:color="auto" w:sz="4" w:space="0"/>
              <w:right w:val="single" w:color="auto" w:sz="4" w:space="0"/>
            </w:tcBorders>
            <w:noWrap w:val="0"/>
            <w:vAlign w:val="top"/>
          </w:tcPr>
          <w:p w14:paraId="10AF475B">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rPr>
              <w:t>▲1、交付时间：自合同签订之日起60日历日内建设完成并交付使用。</w:t>
            </w:r>
          </w:p>
          <w:p w14:paraId="29E1D316">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rPr>
                <w:rFonts w:hint="eastAsia" w:ascii="宋体" w:hAnsi="宋体" w:cs="宋体"/>
                <w:bCs/>
                <w:color w:val="auto"/>
                <w:szCs w:val="21"/>
                <w:highlight w:val="none"/>
              </w:rPr>
            </w:pPr>
            <w:r>
              <w:rPr>
                <w:rFonts w:hint="eastAsia" w:ascii="宋体" w:hAnsi="宋体" w:cs="宋体"/>
                <w:bCs/>
                <w:color w:val="auto"/>
                <w:szCs w:val="21"/>
                <w:highlight w:val="none"/>
              </w:rPr>
              <w:t>▲2、交付地点：南宁市广西中医药大学指定地点。</w:t>
            </w:r>
          </w:p>
          <w:p w14:paraId="66D67295">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rPr>
                <w:rFonts w:hint="eastAsia" w:ascii="宋体" w:hAnsi="宋体" w:cs="宋体"/>
                <w:bCs/>
                <w:color w:val="auto"/>
                <w:szCs w:val="21"/>
                <w:highlight w:val="none"/>
              </w:rPr>
            </w:pPr>
            <w:r>
              <w:rPr>
                <w:rFonts w:hint="eastAsia" w:ascii="宋体" w:hAnsi="宋体" w:cs="宋体"/>
                <w:bCs/>
                <w:color w:val="auto"/>
                <w:szCs w:val="21"/>
                <w:highlight w:val="none"/>
              </w:rPr>
              <w:t>3、验收：以双方签定的合同条件为准，逐项进行最终验收。</w:t>
            </w:r>
          </w:p>
          <w:p w14:paraId="4AC30F93">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rPr>
                <w:rFonts w:hint="eastAsia" w:ascii="宋体" w:hAnsi="宋体" w:cs="宋体"/>
                <w:bCs/>
                <w:color w:val="auto"/>
                <w:szCs w:val="21"/>
                <w:highlight w:val="none"/>
              </w:rPr>
            </w:pPr>
            <w:r>
              <w:rPr>
                <w:rFonts w:hint="eastAsia" w:ascii="宋体" w:hAnsi="宋体" w:cs="宋体"/>
                <w:bCs/>
                <w:color w:val="auto"/>
                <w:szCs w:val="21"/>
                <w:highlight w:val="none"/>
              </w:rPr>
              <w:t>▲4、采购人项目验收如需聘请第三方参与共同验收的，成交人须承担全部验收费用。</w:t>
            </w:r>
          </w:p>
        </w:tc>
      </w:tr>
      <w:tr w14:paraId="0F88A8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00" w:type="pct"/>
            <w:tcBorders>
              <w:top w:val="single" w:color="auto" w:sz="4" w:space="0"/>
              <w:left w:val="single" w:color="auto" w:sz="4" w:space="0"/>
              <w:bottom w:val="single" w:color="auto" w:sz="4" w:space="0"/>
              <w:right w:val="single" w:color="auto" w:sz="4" w:space="0"/>
            </w:tcBorders>
            <w:noWrap w:val="0"/>
            <w:vAlign w:val="center"/>
          </w:tcPr>
          <w:p w14:paraId="7F13A0E7">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rPr>
                <w:rFonts w:hint="eastAsia" w:ascii="宋体" w:hAnsi="宋体" w:cs="宋体"/>
                <w:bCs/>
                <w:color w:val="auto"/>
                <w:szCs w:val="21"/>
                <w:highlight w:val="none"/>
              </w:rPr>
            </w:pPr>
            <w:r>
              <w:rPr>
                <w:rFonts w:hint="eastAsia" w:ascii="宋体" w:hAnsi="宋体" w:cs="宋体"/>
                <w:bCs/>
                <w:color w:val="auto"/>
                <w:szCs w:val="21"/>
                <w:highlight w:val="none"/>
              </w:rPr>
              <w:t>▲报价要求</w:t>
            </w:r>
          </w:p>
        </w:tc>
        <w:tc>
          <w:tcPr>
            <w:tcW w:w="4199" w:type="pct"/>
            <w:tcBorders>
              <w:top w:val="single" w:color="auto" w:sz="4" w:space="0"/>
              <w:left w:val="single" w:color="auto" w:sz="4" w:space="0"/>
              <w:bottom w:val="single" w:color="auto" w:sz="4" w:space="0"/>
              <w:right w:val="single" w:color="auto" w:sz="4" w:space="0"/>
            </w:tcBorders>
            <w:noWrap w:val="0"/>
            <w:vAlign w:val="top"/>
          </w:tcPr>
          <w:p w14:paraId="67BD6FAD">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rPr>
              <w:t>1.报价包括但不限于货物(软件及硬件)价款，备件、专用工具、安装、调试、检]验、系统对接、系统升级、技术支持、技术培训及技术资料和包装、运输、税费等全部费用。</w:t>
            </w:r>
          </w:p>
          <w:p w14:paraId="0AC0B72A">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rPr>
              <w:t>2.对于采购需求中无法预估具体数量的项目(如电源线等)，供应商须按实际需求提供，费用已包含在报价中，实行包干制，不得额外增加任何费用。</w:t>
            </w:r>
          </w:p>
        </w:tc>
      </w:tr>
      <w:tr w14:paraId="7745FB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00" w:type="pct"/>
            <w:tcBorders>
              <w:top w:val="single" w:color="auto" w:sz="4" w:space="0"/>
              <w:left w:val="single" w:color="auto" w:sz="4" w:space="0"/>
              <w:bottom w:val="single" w:color="auto" w:sz="4" w:space="0"/>
              <w:right w:val="single" w:color="auto" w:sz="4" w:space="0"/>
            </w:tcBorders>
            <w:noWrap w:val="0"/>
            <w:vAlign w:val="center"/>
          </w:tcPr>
          <w:p w14:paraId="413B1EE3">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rPr>
                <w:rFonts w:hint="default" w:ascii="宋体" w:hAnsi="宋体" w:cs="宋体" w:eastAsiaTheme="minorEastAsia"/>
                <w:bCs/>
                <w:color w:val="auto"/>
                <w:szCs w:val="21"/>
                <w:highlight w:val="none"/>
                <w:lang w:val="en-US" w:eastAsia="zh-CN"/>
              </w:rPr>
            </w:pP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付款条件</w:t>
            </w:r>
          </w:p>
        </w:tc>
        <w:tc>
          <w:tcPr>
            <w:tcW w:w="4199" w:type="pct"/>
            <w:tcBorders>
              <w:top w:val="single" w:color="auto" w:sz="4" w:space="0"/>
              <w:left w:val="single" w:color="auto" w:sz="4" w:space="0"/>
              <w:bottom w:val="single" w:color="auto" w:sz="4" w:space="0"/>
              <w:right w:val="single" w:color="auto" w:sz="4" w:space="0"/>
            </w:tcBorders>
            <w:noWrap w:val="0"/>
            <w:vAlign w:val="top"/>
          </w:tcPr>
          <w:p w14:paraId="01502478">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rPr>
              <w:t>、付款方式：</w:t>
            </w:r>
          </w:p>
          <w:p w14:paraId="7F40E721">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lang w:val="zh-CN"/>
              </w:rPr>
            </w:pPr>
            <w:r>
              <w:rPr>
                <w:rFonts w:hint="eastAsia" w:ascii="宋体" w:hAnsi="宋体" w:cs="宋体"/>
                <w:bCs/>
                <w:color w:val="auto"/>
                <w:szCs w:val="21"/>
                <w:highlight w:val="none"/>
                <w:lang w:val="zh-CN" w:eastAsia="zh-CN"/>
              </w:rPr>
              <w:t>（</w:t>
            </w: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lang w:val="zh-CN" w:eastAsia="zh-CN"/>
              </w:rPr>
              <w:t>）合同生效后，</w:t>
            </w:r>
            <w:r>
              <w:rPr>
                <w:rFonts w:hint="eastAsia" w:ascii="宋体" w:hAnsi="宋体" w:cs="宋体"/>
                <w:bCs/>
                <w:color w:val="auto"/>
                <w:szCs w:val="21"/>
                <w:highlight w:val="none"/>
                <w:lang w:val="en-US" w:eastAsia="zh-CN"/>
              </w:rPr>
              <w:t>成交供应商</w:t>
            </w:r>
            <w:r>
              <w:rPr>
                <w:rFonts w:hint="eastAsia" w:ascii="宋体" w:hAnsi="宋体" w:cs="宋体"/>
                <w:bCs/>
                <w:color w:val="auto"/>
                <w:szCs w:val="21"/>
                <w:highlight w:val="none"/>
                <w:lang w:val="zh-CN" w:eastAsia="zh-CN"/>
              </w:rPr>
              <w:t>按合同约定的时间要求在指定地点完成</w:t>
            </w:r>
            <w:r>
              <w:rPr>
                <w:rFonts w:hint="eastAsia" w:ascii="宋体" w:hAnsi="宋体" w:cs="宋体"/>
                <w:bCs/>
                <w:color w:val="auto"/>
                <w:szCs w:val="21"/>
                <w:highlight w:val="none"/>
                <w:lang w:val="en-US" w:eastAsia="zh-CN"/>
              </w:rPr>
              <w:t>本项目</w:t>
            </w:r>
            <w:r>
              <w:rPr>
                <w:rFonts w:hint="eastAsia" w:ascii="宋体" w:hAnsi="宋体" w:cs="宋体"/>
                <w:bCs/>
                <w:color w:val="auto"/>
                <w:szCs w:val="21"/>
                <w:highlight w:val="none"/>
                <w:lang w:val="zh-CN" w:eastAsia="zh-CN"/>
              </w:rPr>
              <w:t>软件、硬件安装部署，由</w:t>
            </w:r>
            <w:r>
              <w:rPr>
                <w:rFonts w:hint="eastAsia" w:ascii="宋体" w:hAnsi="宋体" w:cs="宋体"/>
                <w:bCs/>
                <w:color w:val="auto"/>
                <w:szCs w:val="21"/>
                <w:highlight w:val="none"/>
                <w:lang w:val="en-US" w:eastAsia="zh-CN"/>
              </w:rPr>
              <w:t>采购人组织</w:t>
            </w:r>
            <w:r>
              <w:rPr>
                <w:rFonts w:hint="eastAsia" w:ascii="宋体" w:hAnsi="宋体" w:cs="宋体"/>
                <w:bCs/>
                <w:color w:val="auto"/>
                <w:szCs w:val="21"/>
                <w:highlight w:val="none"/>
                <w:lang w:val="zh-CN" w:eastAsia="zh-CN"/>
              </w:rPr>
              <w:t>验收，达到验收标准签署验收报告，成交供应商向采购人开具税率为13%的增值税专用发票。采购人</w:t>
            </w:r>
            <w:r>
              <w:rPr>
                <w:rFonts w:hint="eastAsia" w:ascii="宋体" w:hAnsi="宋体" w:cs="宋体"/>
                <w:bCs/>
                <w:color w:val="auto"/>
                <w:szCs w:val="21"/>
                <w:highlight w:val="none"/>
                <w:lang w:val="zh-CN"/>
              </w:rPr>
              <w:t>在收到</w:t>
            </w:r>
            <w:r>
              <w:rPr>
                <w:rFonts w:hint="eastAsia" w:ascii="宋体" w:hAnsi="宋体" w:cs="宋体"/>
                <w:bCs/>
                <w:color w:val="auto"/>
                <w:szCs w:val="21"/>
                <w:highlight w:val="none"/>
                <w:lang w:val="zh-CN" w:eastAsia="zh-CN"/>
              </w:rPr>
              <w:t>成交供应商开具的正确无误</w:t>
            </w:r>
            <w:r>
              <w:rPr>
                <w:rFonts w:hint="eastAsia" w:ascii="宋体" w:hAnsi="宋体" w:cs="宋体"/>
                <w:bCs/>
                <w:color w:val="auto"/>
                <w:szCs w:val="21"/>
                <w:highlight w:val="none"/>
                <w:lang w:val="zh-CN"/>
              </w:rPr>
              <w:t>的</w:t>
            </w:r>
            <w:r>
              <w:rPr>
                <w:rFonts w:hint="eastAsia" w:ascii="宋体" w:hAnsi="宋体" w:cs="宋体"/>
                <w:bCs/>
                <w:color w:val="auto"/>
                <w:szCs w:val="21"/>
                <w:highlight w:val="none"/>
                <w:lang w:val="zh-CN" w:eastAsia="zh-CN"/>
              </w:rPr>
              <w:t>增值税专用发票及完整付款材料</w:t>
            </w:r>
            <w:r>
              <w:rPr>
                <w:rFonts w:hint="eastAsia" w:ascii="宋体" w:hAnsi="宋体" w:cs="宋体"/>
                <w:bCs/>
                <w:color w:val="auto"/>
                <w:szCs w:val="21"/>
                <w:highlight w:val="none"/>
                <w:lang w:val="en-US" w:eastAsia="zh-CN"/>
              </w:rPr>
              <w:t>后</w:t>
            </w:r>
            <w:r>
              <w:rPr>
                <w:rFonts w:hint="eastAsia" w:ascii="宋体" w:hAnsi="宋体" w:cs="宋体"/>
                <w:bCs/>
                <w:color w:val="auto"/>
                <w:szCs w:val="21"/>
                <w:highlight w:val="none"/>
                <w:lang w:val="zh-CN" w:eastAsia="zh-CN"/>
              </w:rPr>
              <w:t>向成交供应商支付合同金额的97%，剩余部分款项为本项目</w:t>
            </w:r>
            <w:r>
              <w:rPr>
                <w:rFonts w:hint="eastAsia" w:ascii="宋体" w:hAnsi="宋体" w:cs="宋体"/>
                <w:bCs/>
                <w:color w:val="auto"/>
                <w:szCs w:val="21"/>
                <w:highlight w:val="none"/>
                <w:lang w:val="en-US" w:eastAsia="zh-CN"/>
              </w:rPr>
              <w:t>尾款</w:t>
            </w:r>
            <w:r>
              <w:rPr>
                <w:rFonts w:hint="eastAsia" w:ascii="宋体" w:hAnsi="宋体" w:cs="宋体"/>
                <w:bCs/>
                <w:color w:val="auto"/>
                <w:szCs w:val="21"/>
                <w:highlight w:val="none"/>
                <w:lang w:val="zh-CN" w:eastAsia="zh-CN"/>
              </w:rPr>
              <w:t>。</w:t>
            </w:r>
          </w:p>
          <w:p w14:paraId="65449054">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lang w:val="zh-CN"/>
              </w:rPr>
              <w:t>（</w:t>
            </w:r>
            <w:r>
              <w:rPr>
                <w:rFonts w:hint="eastAsia" w:ascii="宋体" w:hAnsi="宋体" w:cs="宋体"/>
                <w:bCs/>
                <w:color w:val="auto"/>
                <w:szCs w:val="21"/>
                <w:highlight w:val="none"/>
                <w:lang w:val="zh-CN" w:eastAsia="zh-CN"/>
              </w:rPr>
              <w:t>2</w:t>
            </w:r>
            <w:r>
              <w:rPr>
                <w:rFonts w:hint="eastAsia" w:ascii="宋体" w:hAnsi="宋体" w:cs="宋体"/>
                <w:bCs/>
                <w:color w:val="auto"/>
                <w:szCs w:val="21"/>
                <w:highlight w:val="none"/>
                <w:lang w:val="zh-CN"/>
              </w:rPr>
              <w:t>）</w:t>
            </w:r>
            <w:r>
              <w:rPr>
                <w:rFonts w:hint="eastAsia" w:ascii="宋体" w:hAnsi="宋体" w:cs="宋体"/>
                <w:bCs/>
                <w:color w:val="auto"/>
                <w:szCs w:val="21"/>
                <w:highlight w:val="none"/>
                <w:lang w:val="en-US" w:eastAsia="zh-CN"/>
              </w:rPr>
              <w:t>尾款</w:t>
            </w:r>
            <w:r>
              <w:rPr>
                <w:rFonts w:hint="eastAsia" w:ascii="宋体" w:hAnsi="宋体" w:cs="宋体"/>
                <w:bCs/>
                <w:color w:val="auto"/>
                <w:szCs w:val="21"/>
                <w:highlight w:val="none"/>
                <w:lang w:val="zh-CN"/>
              </w:rPr>
              <w:t>：占本合同总价款的</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lang w:val="zh-CN"/>
              </w:rPr>
              <w:t>%</w:t>
            </w:r>
            <w:r>
              <w:rPr>
                <w:rFonts w:hint="eastAsia" w:ascii="宋体" w:hAnsi="宋体" w:cs="宋体"/>
                <w:bCs/>
                <w:color w:val="auto"/>
                <w:szCs w:val="21"/>
                <w:highlight w:val="none"/>
                <w:lang w:val="zh-CN" w:eastAsia="zh-CN"/>
              </w:rPr>
              <w:t>，成交供应商在质保期内提供质保服务，质保期满且采购人、</w:t>
            </w:r>
            <w:r>
              <w:rPr>
                <w:rFonts w:hint="eastAsia" w:ascii="宋体" w:hAnsi="宋体" w:cs="宋体"/>
                <w:bCs/>
                <w:color w:val="auto"/>
                <w:szCs w:val="21"/>
                <w:highlight w:val="none"/>
                <w:lang w:val="en-US" w:eastAsia="zh-CN"/>
              </w:rPr>
              <w:t>使用方</w:t>
            </w:r>
            <w:r>
              <w:rPr>
                <w:rFonts w:hint="eastAsia" w:ascii="宋体" w:hAnsi="宋体" w:cs="宋体"/>
                <w:bCs/>
                <w:color w:val="auto"/>
                <w:szCs w:val="21"/>
                <w:highlight w:val="none"/>
                <w:lang w:val="zh-CN" w:eastAsia="zh-CN"/>
              </w:rPr>
              <w:t>无异议的前提下成交供应商向采购人出具请款函，采购人在收到请款函</w:t>
            </w:r>
            <w:r>
              <w:rPr>
                <w:rFonts w:hint="eastAsia" w:ascii="宋体" w:hAnsi="宋体" w:cs="宋体"/>
                <w:bCs/>
                <w:color w:val="auto"/>
                <w:szCs w:val="21"/>
                <w:highlight w:val="none"/>
                <w:lang w:val="en-US" w:eastAsia="zh-CN"/>
              </w:rPr>
              <w:t>后</w:t>
            </w:r>
            <w:r>
              <w:rPr>
                <w:rFonts w:hint="eastAsia" w:ascii="宋体" w:hAnsi="宋体" w:cs="宋体"/>
                <w:bCs/>
                <w:color w:val="auto"/>
                <w:szCs w:val="21"/>
                <w:highlight w:val="none"/>
                <w:lang w:val="zh-CN" w:eastAsia="zh-CN"/>
              </w:rPr>
              <w:t>向成交供应商支付</w:t>
            </w:r>
            <w:r>
              <w:rPr>
                <w:rFonts w:hint="eastAsia" w:ascii="宋体" w:hAnsi="宋体" w:cs="宋体"/>
                <w:bCs/>
                <w:color w:val="auto"/>
                <w:szCs w:val="21"/>
                <w:highlight w:val="none"/>
                <w:lang w:val="en-US" w:eastAsia="zh-CN"/>
              </w:rPr>
              <w:t>剩余款项</w:t>
            </w:r>
            <w:r>
              <w:rPr>
                <w:rFonts w:hint="eastAsia" w:ascii="宋体" w:hAnsi="宋体" w:cs="宋体"/>
                <w:bCs/>
                <w:color w:val="auto"/>
                <w:szCs w:val="21"/>
                <w:highlight w:val="none"/>
                <w:lang w:val="zh-CN"/>
              </w:rPr>
              <w:t>。</w:t>
            </w:r>
          </w:p>
          <w:p w14:paraId="195DC1E0">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rPr>
              <w:t>2、发票：</w:t>
            </w:r>
            <w:r>
              <w:rPr>
                <w:rFonts w:hint="eastAsia" w:ascii="宋体" w:hAnsi="宋体" w:cs="宋体"/>
                <w:bCs/>
                <w:color w:val="auto"/>
                <w:szCs w:val="21"/>
                <w:highlight w:val="none"/>
                <w:lang w:eastAsia="zh-CN"/>
              </w:rPr>
              <w:t>成交供应商</w:t>
            </w:r>
            <w:r>
              <w:rPr>
                <w:rFonts w:hint="eastAsia" w:ascii="宋体" w:hAnsi="宋体" w:cs="宋体"/>
                <w:bCs/>
                <w:color w:val="auto"/>
                <w:szCs w:val="21"/>
                <w:highlight w:val="none"/>
              </w:rPr>
              <w:t>须在要求</w:t>
            </w:r>
            <w:r>
              <w:rPr>
                <w:rFonts w:hint="eastAsia" w:ascii="宋体" w:hAnsi="宋体" w:cs="宋体"/>
                <w:bCs/>
                <w:color w:val="auto"/>
                <w:szCs w:val="21"/>
                <w:highlight w:val="none"/>
                <w:lang w:eastAsia="zh-CN"/>
              </w:rPr>
              <w:t>采购人</w:t>
            </w:r>
            <w:r>
              <w:rPr>
                <w:rFonts w:hint="eastAsia" w:ascii="宋体" w:hAnsi="宋体" w:cs="宋体"/>
                <w:bCs/>
                <w:color w:val="auto"/>
                <w:szCs w:val="21"/>
                <w:highlight w:val="none"/>
              </w:rPr>
              <w:t>支付每期合同款时，在接到</w:t>
            </w:r>
            <w:r>
              <w:rPr>
                <w:rFonts w:hint="eastAsia" w:ascii="宋体" w:hAnsi="宋体" w:cs="宋体"/>
                <w:bCs/>
                <w:color w:val="auto"/>
                <w:szCs w:val="21"/>
                <w:highlight w:val="none"/>
                <w:lang w:eastAsia="zh-CN"/>
              </w:rPr>
              <w:t>采购人</w:t>
            </w:r>
            <w:r>
              <w:rPr>
                <w:rFonts w:hint="eastAsia" w:ascii="宋体" w:hAnsi="宋体" w:cs="宋体"/>
                <w:bCs/>
                <w:color w:val="auto"/>
                <w:szCs w:val="21"/>
                <w:highlight w:val="none"/>
              </w:rPr>
              <w:t>开具发票通知后，向</w:t>
            </w:r>
            <w:r>
              <w:rPr>
                <w:rFonts w:hint="eastAsia" w:ascii="宋体" w:hAnsi="宋体" w:cs="宋体"/>
                <w:bCs/>
                <w:color w:val="auto"/>
                <w:szCs w:val="21"/>
                <w:highlight w:val="none"/>
                <w:lang w:eastAsia="zh-CN"/>
              </w:rPr>
              <w:t>采购人</w:t>
            </w:r>
            <w:r>
              <w:rPr>
                <w:rFonts w:hint="eastAsia" w:ascii="宋体" w:hAnsi="宋体" w:cs="宋体"/>
                <w:bCs/>
                <w:color w:val="auto"/>
                <w:szCs w:val="21"/>
                <w:highlight w:val="none"/>
              </w:rPr>
              <w:t>开具本次付款金额对应的增值税专用发票。</w:t>
            </w:r>
            <w:r>
              <w:rPr>
                <w:rFonts w:hint="eastAsia" w:ascii="宋体" w:hAnsi="宋体" w:cs="宋体"/>
                <w:bCs/>
                <w:color w:val="auto"/>
                <w:szCs w:val="21"/>
                <w:highlight w:val="none"/>
                <w:lang w:eastAsia="zh-CN"/>
              </w:rPr>
              <w:t>成交供应商</w:t>
            </w:r>
            <w:r>
              <w:rPr>
                <w:rFonts w:hint="eastAsia" w:ascii="宋体" w:hAnsi="宋体" w:cs="宋体"/>
                <w:bCs/>
                <w:color w:val="auto"/>
                <w:szCs w:val="21"/>
                <w:highlight w:val="none"/>
              </w:rPr>
              <w:t>如为一般纳税人，应向</w:t>
            </w:r>
            <w:r>
              <w:rPr>
                <w:rFonts w:hint="eastAsia" w:ascii="宋体" w:hAnsi="宋体" w:cs="宋体"/>
                <w:bCs/>
                <w:color w:val="auto"/>
                <w:szCs w:val="21"/>
                <w:highlight w:val="none"/>
                <w:lang w:eastAsia="zh-CN"/>
              </w:rPr>
              <w:t>采购人</w:t>
            </w:r>
            <w:r>
              <w:rPr>
                <w:rFonts w:hint="eastAsia" w:ascii="宋体" w:hAnsi="宋体" w:cs="宋体"/>
                <w:bCs/>
                <w:color w:val="auto"/>
                <w:szCs w:val="21"/>
                <w:highlight w:val="none"/>
              </w:rPr>
              <w:t>开具增值税专用发票；如为小规模纳税人，须要求税务局代开增值税专用发票。</w:t>
            </w:r>
            <w:r>
              <w:rPr>
                <w:rFonts w:hint="eastAsia" w:ascii="宋体" w:hAnsi="宋体" w:cs="宋体"/>
                <w:bCs/>
                <w:color w:val="auto"/>
                <w:szCs w:val="21"/>
                <w:highlight w:val="none"/>
                <w:lang w:val="zh-CN" w:eastAsia="zh-CN"/>
              </w:rPr>
              <w:t>成交供应商</w:t>
            </w:r>
            <w:r>
              <w:rPr>
                <w:rFonts w:hint="eastAsia" w:ascii="宋体" w:hAnsi="宋体" w:cs="宋体"/>
                <w:bCs/>
                <w:color w:val="auto"/>
                <w:szCs w:val="21"/>
                <w:highlight w:val="none"/>
              </w:rPr>
              <w:t xml:space="preserve">须在增值税专用发票开具后 </w:t>
            </w:r>
            <w:r>
              <w:rPr>
                <w:rFonts w:hint="eastAsia" w:ascii="宋体" w:hAnsi="宋体" w:cs="宋体"/>
                <w:bCs/>
                <w:color w:val="auto"/>
                <w:szCs w:val="21"/>
                <w:highlight w:val="none"/>
                <w:lang w:val="en-US" w:eastAsia="zh-CN"/>
              </w:rPr>
              <w:t>10</w:t>
            </w:r>
            <w:r>
              <w:rPr>
                <w:rFonts w:hint="eastAsia" w:ascii="宋体" w:hAnsi="宋体" w:cs="宋体"/>
                <w:bCs/>
                <w:color w:val="auto"/>
                <w:szCs w:val="21"/>
                <w:highlight w:val="none"/>
              </w:rPr>
              <w:t xml:space="preserve"> 个自然日（原则上不超过20个自然日）内，将增值税专用发票提交至采购人。</w:t>
            </w:r>
          </w:p>
        </w:tc>
      </w:tr>
      <w:tr w14:paraId="18E202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5" w:hRule="atLeast"/>
          <w:jc w:val="center"/>
        </w:trPr>
        <w:tc>
          <w:tcPr>
            <w:tcW w:w="800" w:type="pct"/>
            <w:tcBorders>
              <w:top w:val="single" w:color="auto" w:sz="4" w:space="0"/>
              <w:left w:val="single" w:color="auto" w:sz="4" w:space="0"/>
              <w:bottom w:val="single" w:color="auto" w:sz="4" w:space="0"/>
              <w:right w:val="single" w:color="auto" w:sz="4" w:space="0"/>
            </w:tcBorders>
            <w:noWrap w:val="0"/>
            <w:vAlign w:val="center"/>
          </w:tcPr>
          <w:p w14:paraId="148E0F82">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textAlignment w:val="auto"/>
              <w:rPr>
                <w:rFonts w:hint="default" w:ascii="宋体" w:hAnsi="宋体" w:cs="宋体"/>
                <w:bCs/>
                <w:color w:val="auto"/>
                <w:szCs w:val="21"/>
                <w:highlight w:val="none"/>
                <w:lang w:val="en-US"/>
              </w:rPr>
            </w:pPr>
            <w:r>
              <w:rPr>
                <w:rFonts w:hint="eastAsia" w:ascii="宋体" w:hAnsi="宋体" w:cs="宋体"/>
                <w:bCs/>
                <w:color w:val="auto"/>
                <w:szCs w:val="21"/>
                <w:highlight w:val="none"/>
                <w:lang w:val="en-US" w:eastAsia="zh-CN"/>
              </w:rPr>
              <w:t>硬件产品包装及</w:t>
            </w:r>
            <w:r>
              <w:rPr>
                <w:rFonts w:hint="eastAsia" w:ascii="宋体" w:hAnsi="宋体" w:cs="宋体"/>
                <w:bCs/>
                <w:color w:val="auto"/>
                <w:szCs w:val="21"/>
                <w:highlight w:val="none"/>
              </w:rPr>
              <w:t>验收</w:t>
            </w:r>
          </w:p>
        </w:tc>
        <w:tc>
          <w:tcPr>
            <w:tcW w:w="4199" w:type="pct"/>
            <w:tcBorders>
              <w:top w:val="single" w:color="auto" w:sz="4" w:space="0"/>
              <w:left w:val="single" w:color="auto" w:sz="4" w:space="0"/>
              <w:bottom w:val="single" w:color="auto" w:sz="4" w:space="0"/>
              <w:right w:val="single" w:color="auto" w:sz="4" w:space="0"/>
            </w:tcBorders>
            <w:noWrap w:val="0"/>
            <w:vAlign w:val="top"/>
          </w:tcPr>
          <w:p w14:paraId="668BABFA">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1、硬件产品包装</w:t>
            </w:r>
          </w:p>
          <w:p w14:paraId="071AE234">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1</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供应商提供的货物均应按投标（响应）文件承诺的要求的包装材料、包装标 准、包装方式进行包装。</w:t>
            </w:r>
          </w:p>
          <w:p w14:paraId="16D5EC3D">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2</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供应商应在货物发运前对其进行满足运输距离、防水、防潮、防震、防锈和防 破损装卸等要求包装，以保证货物安全运达</w:t>
            </w:r>
            <w:r>
              <w:rPr>
                <w:rFonts w:hint="eastAsia" w:ascii="宋体" w:hAnsi="宋体" w:cs="宋体"/>
                <w:bCs/>
                <w:color w:val="auto"/>
                <w:szCs w:val="21"/>
                <w:highlight w:val="none"/>
                <w:lang w:val="en-US" w:eastAsia="zh-CN"/>
              </w:rPr>
              <w:t>采购人</w:t>
            </w:r>
            <w:r>
              <w:rPr>
                <w:rFonts w:hint="eastAsia" w:ascii="宋体" w:hAnsi="宋体" w:cs="宋体"/>
                <w:bCs/>
                <w:color w:val="auto"/>
                <w:szCs w:val="21"/>
                <w:highlight w:val="none"/>
              </w:rPr>
              <w:t>指定地点。</w:t>
            </w:r>
          </w:p>
          <w:p w14:paraId="33F23F91">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货物的使用说明书（货物属于进口产品的，供货时应同时附上中文使用说明书）、质量检验证明书、质量合格证、随配附件和工具以及清单一并附于货物包装内。</w:t>
            </w:r>
          </w:p>
          <w:p w14:paraId="5E387FD0">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硬件产品验收</w:t>
            </w:r>
          </w:p>
          <w:p w14:paraId="215BB72D">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对供应商提交的货物依据采购文件上的技术规格要求和国家有关质量标准进行现场签收，外观、说明书及各项功能符合采购文件技术要求的，给予签收，不合格的不予签收。</w:t>
            </w:r>
          </w:p>
          <w:p w14:paraId="2A4ECF2B">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供应商交货前应对产品作出全面检查和对验收文件进行整理，并列出清单，作为收货验收和使用的技术条件依据，检验的结果应随货物</w:t>
            </w:r>
            <w:r>
              <w:rPr>
                <w:rFonts w:hint="eastAsia" w:ascii="宋体" w:hAnsi="宋体" w:cs="宋体"/>
                <w:bCs/>
                <w:color w:val="auto"/>
                <w:szCs w:val="21"/>
                <w:highlight w:val="none"/>
                <w:lang w:val="en-US" w:eastAsia="zh-CN"/>
              </w:rPr>
              <w:t>提</w:t>
            </w:r>
            <w:r>
              <w:rPr>
                <w:rFonts w:hint="eastAsia" w:ascii="宋体" w:hAnsi="宋体" w:cs="宋体"/>
                <w:bCs/>
                <w:color w:val="auto"/>
                <w:szCs w:val="21"/>
                <w:highlight w:val="none"/>
              </w:rPr>
              <w:t>交。供应商不能完整交付货物及本款规定的单证和工具的，必须负责补齐，否则视为未按合同约定交货。</w:t>
            </w:r>
          </w:p>
          <w:p w14:paraId="438C6577">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供应商需负责安装、调试（测试），并培训使用操作人员，直到硬件设备运行符合技术要求，方可验收。</w:t>
            </w:r>
          </w:p>
          <w:p w14:paraId="58BE5E01">
            <w:pPr>
              <w:keepNext w:val="0"/>
              <w:keepLines w:val="0"/>
              <w:pageBreakBefore w:val="0"/>
              <w:shd w:val="clear" w:color="auto" w:fill="auto"/>
              <w:kinsoku/>
              <w:wordWrap w:val="0"/>
              <w:overflowPunct/>
              <w:topLinePunct w:val="0"/>
              <w:autoSpaceDE/>
              <w:autoSpaceDN/>
              <w:bidi w:val="0"/>
              <w:adjustRightInd/>
              <w:snapToGrid w:val="0"/>
              <w:spacing w:beforeAutospacing="0" w:afterAutospacing="0" w:line="240" w:lineRule="auto"/>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lang w:eastAsia="zh-CN"/>
              </w:rPr>
              <w:t>（</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lang w:eastAsia="zh-CN"/>
              </w:rPr>
              <w:t>）</w:t>
            </w:r>
            <w:r>
              <w:rPr>
                <w:rFonts w:hint="eastAsia" w:ascii="宋体" w:hAnsi="宋体" w:cs="宋体"/>
                <w:bCs/>
                <w:color w:val="auto"/>
                <w:szCs w:val="21"/>
                <w:highlight w:val="none"/>
              </w:rPr>
              <w:t>组织验收，供应商必须到场配合，验收合格后三方签署验收合格凭证。</w:t>
            </w:r>
          </w:p>
        </w:tc>
      </w:tr>
      <w:tr w14:paraId="3EC3AD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00" w:type="pct"/>
            <w:tcBorders>
              <w:top w:val="single" w:color="auto" w:sz="4" w:space="0"/>
              <w:left w:val="single" w:color="auto" w:sz="4" w:space="0"/>
              <w:bottom w:val="single" w:color="auto" w:sz="4" w:space="0"/>
              <w:right w:val="single" w:color="auto" w:sz="4" w:space="0"/>
            </w:tcBorders>
            <w:noWrap w:val="0"/>
            <w:vAlign w:val="center"/>
          </w:tcPr>
          <w:p w14:paraId="59976DA7">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jc w:val="center"/>
              <w:textAlignment w:val="auto"/>
              <w:rPr>
                <w:rFonts w:hint="eastAsia" w:ascii="宋体" w:hAnsi="宋体" w:cs="宋体"/>
                <w:bCs/>
                <w:color w:val="auto"/>
                <w:szCs w:val="21"/>
                <w:highlight w:val="none"/>
              </w:rPr>
            </w:pPr>
            <w:r>
              <w:rPr>
                <w:rFonts w:hint="eastAsia" w:ascii="宋体" w:hAnsi="宋体" w:cs="宋体"/>
                <w:bCs/>
                <w:color w:val="auto"/>
                <w:szCs w:val="21"/>
                <w:highlight w:val="none"/>
              </w:rPr>
              <w:t>说明</w:t>
            </w:r>
          </w:p>
        </w:tc>
        <w:tc>
          <w:tcPr>
            <w:tcW w:w="4199" w:type="pct"/>
            <w:tcBorders>
              <w:top w:val="single" w:color="auto" w:sz="4" w:space="0"/>
              <w:left w:val="single" w:color="auto" w:sz="4" w:space="0"/>
              <w:bottom w:val="single" w:color="auto" w:sz="4" w:space="0"/>
              <w:right w:val="single" w:color="auto" w:sz="4" w:space="0"/>
            </w:tcBorders>
            <w:noWrap w:val="0"/>
            <w:vAlign w:val="center"/>
          </w:tcPr>
          <w:p w14:paraId="2742E0DE">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textAlignment w:val="auto"/>
              <w:rPr>
                <w:rFonts w:hint="eastAsia" w:ascii="宋体" w:hAnsi="宋体" w:cs="宋体"/>
                <w:bCs/>
                <w:color w:val="auto"/>
                <w:szCs w:val="21"/>
                <w:highlight w:val="none"/>
              </w:rPr>
            </w:pPr>
            <w:r>
              <w:rPr>
                <w:rFonts w:hint="eastAsia" w:ascii="宋体" w:hAnsi="宋体" w:cs="宋体"/>
                <w:bCs/>
                <w:color w:val="auto"/>
                <w:szCs w:val="21"/>
                <w:highlight w:val="none"/>
              </w:rPr>
              <w:t>本项目货物不接受进口产品（即通过中国海关报关验放进入中国境内且产自关境外的产品）参与竞标，如有进口产品参与竞标的，其响应文件按无效处理。</w:t>
            </w:r>
          </w:p>
        </w:tc>
      </w:tr>
      <w:tr w14:paraId="4456F7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00" w:type="pct"/>
            <w:tcBorders>
              <w:top w:val="single" w:color="auto" w:sz="4" w:space="0"/>
              <w:left w:val="single" w:color="auto" w:sz="4" w:space="0"/>
              <w:bottom w:val="single" w:color="auto" w:sz="4" w:space="0"/>
              <w:right w:val="single" w:color="auto" w:sz="4" w:space="0"/>
            </w:tcBorders>
            <w:noWrap w:val="0"/>
            <w:vAlign w:val="center"/>
          </w:tcPr>
          <w:p w14:paraId="7354DA73">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jc w:val="center"/>
              <w:textAlignment w:val="auto"/>
              <w:rPr>
                <w:rFonts w:hint="eastAsia" w:ascii="宋体" w:hAnsi="宋体" w:cs="宋体"/>
                <w:bCs/>
                <w:color w:val="auto"/>
                <w:szCs w:val="21"/>
                <w:highlight w:val="none"/>
              </w:rPr>
            </w:pPr>
            <w:r>
              <w:rPr>
                <w:rFonts w:hint="eastAsia" w:ascii="宋体" w:hAnsi="宋体" w:cs="宋体"/>
                <w:bCs/>
                <w:color w:val="auto"/>
                <w:szCs w:val="21"/>
                <w:highlight w:val="none"/>
              </w:rPr>
              <w:t>▲接入要求</w:t>
            </w:r>
          </w:p>
        </w:tc>
        <w:tc>
          <w:tcPr>
            <w:tcW w:w="4199" w:type="pct"/>
            <w:tcBorders>
              <w:top w:val="single" w:color="auto" w:sz="4" w:space="0"/>
              <w:left w:val="single" w:color="auto" w:sz="4" w:space="0"/>
              <w:bottom w:val="single" w:color="auto" w:sz="4" w:space="0"/>
              <w:right w:val="single" w:color="auto" w:sz="4" w:space="0"/>
            </w:tcBorders>
            <w:noWrap w:val="0"/>
            <w:vAlign w:val="center"/>
          </w:tcPr>
          <w:p w14:paraId="22E3BE46">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textAlignment w:val="auto"/>
              <w:rPr>
                <w:rFonts w:hint="default" w:eastAsia="宋体"/>
                <w:color w:val="auto"/>
                <w:highlight w:val="none"/>
                <w:lang w:val="en-US" w:eastAsia="zh-CN"/>
              </w:rPr>
            </w:pPr>
            <w:r>
              <w:rPr>
                <w:rFonts w:hint="eastAsia" w:ascii="宋体" w:hAnsi="宋体" w:cs="宋体"/>
                <w:bCs/>
                <w:color w:val="auto"/>
                <w:szCs w:val="21"/>
                <w:highlight w:val="none"/>
              </w:rPr>
              <w:t>供应商需负责学校原有电表的统一接入电控管理系统（不限于设备更换、改造、设备对接等），包括但不限于实现同一界面管理、数据库管理、设备接入管理；因此产生的费用由供应商自行承担。</w:t>
            </w:r>
          </w:p>
        </w:tc>
      </w:tr>
      <w:tr w14:paraId="7257D4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97" w:hRule="atLeast"/>
          <w:jc w:val="center"/>
        </w:trPr>
        <w:tc>
          <w:tcPr>
            <w:tcW w:w="800" w:type="pct"/>
            <w:tcBorders>
              <w:top w:val="single" w:color="auto" w:sz="4" w:space="0"/>
              <w:left w:val="single" w:color="auto" w:sz="4" w:space="0"/>
              <w:bottom w:val="single" w:color="auto" w:sz="4" w:space="0"/>
              <w:right w:val="single" w:color="auto" w:sz="4" w:space="0"/>
            </w:tcBorders>
            <w:noWrap w:val="0"/>
            <w:vAlign w:val="center"/>
          </w:tcPr>
          <w:p w14:paraId="4A951718">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jc w:val="center"/>
              <w:textAlignment w:val="auto"/>
              <w:rPr>
                <w:rFonts w:hint="eastAsia" w:ascii="宋体" w:hAnsi="宋体" w:cs="宋体"/>
                <w:bCs/>
                <w:color w:val="auto"/>
                <w:szCs w:val="21"/>
                <w:highlight w:val="none"/>
              </w:rPr>
            </w:pPr>
            <w:r>
              <w:rPr>
                <w:rFonts w:hint="eastAsia" w:ascii="宋体" w:hAnsi="宋体" w:cs="宋体"/>
                <w:bCs/>
                <w:color w:val="auto"/>
                <w:szCs w:val="21"/>
                <w:highlight w:val="none"/>
              </w:rPr>
              <w:t>▲</w:t>
            </w:r>
            <w:r>
              <w:rPr>
                <w:rFonts w:hint="eastAsia" w:ascii="仿宋_GB2312" w:eastAsia="仿宋_GB2312"/>
                <w:b/>
                <w:bCs/>
                <w:color w:val="000000" w:themeColor="text1"/>
                <w:spacing w:val="6"/>
                <w:sz w:val="21"/>
                <w:szCs w:val="21"/>
                <w:lang w:val="en-US" w:eastAsia="zh-CN"/>
                <w14:textFill>
                  <w14:solidFill>
                    <w14:schemeClr w14:val="tx1"/>
                  </w14:solidFill>
                </w14:textFill>
              </w:rPr>
              <w:t>其他</w:t>
            </w:r>
            <w:r>
              <w:rPr>
                <w:rFonts w:hint="eastAsia" w:ascii="仿宋_GB2312" w:eastAsia="仿宋_GB2312"/>
                <w:b/>
                <w:bCs/>
                <w:color w:val="000000" w:themeColor="text1"/>
                <w:spacing w:val="6"/>
                <w:sz w:val="21"/>
                <w:szCs w:val="21"/>
                <w14:textFill>
                  <w14:solidFill>
                    <w14:schemeClr w14:val="tx1"/>
                  </w14:solidFill>
                </w14:textFill>
              </w:rPr>
              <w:t>要求</w:t>
            </w:r>
          </w:p>
        </w:tc>
        <w:tc>
          <w:tcPr>
            <w:tcW w:w="4199" w:type="pct"/>
            <w:tcBorders>
              <w:top w:val="single" w:color="auto" w:sz="4" w:space="0"/>
              <w:left w:val="single" w:color="auto" w:sz="4" w:space="0"/>
              <w:bottom w:val="single" w:color="auto" w:sz="4" w:space="0"/>
              <w:right w:val="single" w:color="auto" w:sz="4" w:space="0"/>
            </w:tcBorders>
            <w:noWrap w:val="0"/>
            <w:vAlign w:val="center"/>
          </w:tcPr>
          <w:p w14:paraId="6BDAB117">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0" w:leftChars="0" w:firstLine="422" w:firstLineChars="200"/>
              <w:textAlignment w:val="auto"/>
            </w:pPr>
            <w:r>
              <w:rPr>
                <w:rStyle w:val="16"/>
              </w:rPr>
              <w:t>部署环境</w:t>
            </w:r>
            <w:r>
              <w:t xml:space="preserve"> 系统软件服务器采用学校提供的虚拟机，依托已开通域名访问。</w:t>
            </w:r>
          </w:p>
          <w:p w14:paraId="7E65717F">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0" w:leftChars="0" w:firstLine="422" w:firstLineChars="200"/>
              <w:textAlignment w:val="auto"/>
            </w:pPr>
            <w:r>
              <w:rPr>
                <w:rStyle w:val="16"/>
              </w:rPr>
              <w:t>智慧校园及门户集成对接要求</w:t>
            </w:r>
            <w:r>
              <w:t xml:space="preserve"> 系统数据须符合学校统一数据标准，完成与学校智慧校园平台的数据集成、身份认证对接，同时集成学校企业微信</w:t>
            </w:r>
            <w:r>
              <w:rPr>
                <w:rFonts w:hint="eastAsia"/>
                <w:lang w:eastAsia="zh-CN"/>
              </w:rPr>
              <w:t>、</w:t>
            </w:r>
            <w:r>
              <w:rPr>
                <w:rFonts w:hint="eastAsia"/>
                <w:lang w:val="en-US" w:eastAsia="zh-CN"/>
              </w:rPr>
              <w:t>一卡通等</w:t>
            </w:r>
            <w:r>
              <w:t>移动门户；</w:t>
            </w:r>
            <w:r>
              <w:rPr>
                <w:rStyle w:val="16"/>
              </w:rPr>
              <w:t>原则上不允许单独部署APP，所有移动端功能统一集成至</w:t>
            </w:r>
            <w:r>
              <w:rPr>
                <w:rStyle w:val="16"/>
                <w:rFonts w:hint="eastAsia"/>
                <w:lang w:val="en-US" w:eastAsia="zh-CN"/>
              </w:rPr>
              <w:t>已有的企业微信或一卡通等移动门户</w:t>
            </w:r>
            <w:r>
              <w:t>。认证对接完成后，不得保留系统独立登录页面、独立登录方式。 项目实施前，</w:t>
            </w:r>
            <w:r>
              <w:rPr>
                <w:rFonts w:hint="eastAsia"/>
                <w:lang w:eastAsia="zh-CN"/>
              </w:rPr>
              <w:t>供应商</w:t>
            </w:r>
            <w:r>
              <w:t>须与学校网络与信息技术中心沟通对接细节，形成对接方案，经该中心确认认可后方可实施；项目验收环节须先由网络与信息技术中心对接验证，验证合格方可进入后续验收流程。系统须按学校要求</w:t>
            </w:r>
            <w:r>
              <w:rPr>
                <w:rStyle w:val="16"/>
              </w:rPr>
              <w:t>免费开放业务接口</w:t>
            </w:r>
            <w:r>
              <w:t>，配合第三方系统开展功能集成、深度业务对接；如需</w:t>
            </w:r>
            <w:r>
              <w:rPr>
                <w:rFonts w:hint="eastAsia"/>
                <w:lang w:val="en-US" w:eastAsia="zh-CN"/>
              </w:rPr>
              <w:t>深度</w:t>
            </w:r>
            <w:r>
              <w:t>二次开发，开发费用另行与学校协商确定，</w:t>
            </w:r>
            <w:r>
              <w:rPr>
                <w:rFonts w:hint="eastAsia"/>
                <w:lang w:eastAsia="zh-CN"/>
              </w:rPr>
              <w:t>供应商</w:t>
            </w:r>
            <w:r>
              <w:t>须提供3份同类开发合同供学校参考，并根据甲方实际使用场景完成个性化适应性二次开发，直至验收通过。</w:t>
            </w:r>
          </w:p>
          <w:p w14:paraId="13D362B0">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0" w:leftChars="0" w:firstLine="422" w:firstLineChars="200"/>
              <w:textAlignment w:val="auto"/>
            </w:pPr>
            <w:r>
              <w:rPr>
                <w:rStyle w:val="16"/>
              </w:rPr>
              <w:t>信息编码与数据中台标准</w:t>
            </w:r>
            <w:r>
              <w:t xml:space="preserve"> 系统信息编码须遵循国家、行业、省部级及学校既定信息编码标准，保障编码统一、唯一；数据共享交换接入严格执行学校数据中台集成标准。</w:t>
            </w:r>
          </w:p>
          <w:p w14:paraId="1A42FD7E">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0" w:leftChars="0" w:firstLine="422" w:firstLineChars="200"/>
              <w:textAlignment w:val="auto"/>
            </w:pPr>
            <w:r>
              <w:rPr>
                <w:rStyle w:val="16"/>
              </w:rPr>
              <w:t>网络安全与等级保护（二级）要求</w:t>
            </w:r>
            <w:r>
              <w:t xml:space="preserve"> 系统安全满足</w:t>
            </w:r>
            <w:r>
              <w:rPr>
                <w:rStyle w:val="16"/>
              </w:rPr>
              <w:t>网络安全等级保护二级标准</w:t>
            </w:r>
            <w:r>
              <w:t>，数据安全符合等保密码要求、《网络安全法》《数据安全法》《</w:t>
            </w:r>
            <w:r>
              <w:rPr>
                <w:rFonts w:hint="eastAsia"/>
                <w:lang w:eastAsia="zh-CN"/>
              </w:rPr>
              <w:t>中华人民共和国个人信息保护法</w:t>
            </w:r>
            <w:r>
              <w:t>》等法律法规。</w:t>
            </w:r>
            <w:r>
              <w:rPr>
                <w:rFonts w:hint="eastAsia"/>
                <w:lang w:eastAsia="zh-CN"/>
              </w:rPr>
              <w:t>供应商</w:t>
            </w:r>
            <w:r>
              <w:t>负责完成等保二级全流程工作：协助系统定级、编制备案材料并报送属地网安部门审核，取得备案号/备案证明；配合开展等保测评、落实测评整改，取得符合公安要求的等级保护测评报告。系统上线前，</w:t>
            </w:r>
            <w:r>
              <w:rPr>
                <w:rFonts w:hint="eastAsia"/>
                <w:lang w:eastAsia="zh-CN"/>
              </w:rPr>
              <w:t>供应商</w:t>
            </w:r>
            <w:r>
              <w:t>须委托具备公安、网信认可资质的第三方机构开展安全扫描、渗透测试并出具评估报告，对安全隐患限期整改，复测通过后方可上线，全部相关费用由</w:t>
            </w:r>
            <w:r>
              <w:rPr>
                <w:rFonts w:hint="eastAsia"/>
                <w:lang w:eastAsia="zh-CN"/>
              </w:rPr>
              <w:t>供应商</w:t>
            </w:r>
            <w:r>
              <w:t>承担。 产品生命周期内，系统出现安全漏洞、安全隐患，</w:t>
            </w:r>
            <w:r>
              <w:rPr>
                <w:rFonts w:hint="eastAsia"/>
                <w:lang w:val="en-US" w:eastAsia="zh-CN"/>
              </w:rPr>
              <w:t>供应商</w:t>
            </w:r>
            <w:r>
              <w:t>须无条件及时修复漏洞、安全加固，并配合学校核验；软件服务期内如爆出重大安全漏洞，</w:t>
            </w:r>
            <w:r>
              <w:rPr>
                <w:rFonts w:hint="eastAsia"/>
                <w:lang w:eastAsia="zh-CN"/>
              </w:rPr>
              <w:t>供应商</w:t>
            </w:r>
            <w:r>
              <w:t>须第一时间修补；超出服务期的，</w:t>
            </w:r>
            <w:r>
              <w:rPr>
                <w:rFonts w:hint="eastAsia"/>
                <w:lang w:eastAsia="zh-CN"/>
              </w:rPr>
              <w:t>供应商</w:t>
            </w:r>
            <w:r>
              <w:t>仍有义务提醒、协助学校处置漏洞。系统在数据存储、处理、全流程交换中做好防护，保障数据完整、保密、可用，严防数据泄露与非法访问。</w:t>
            </w:r>
          </w:p>
          <w:p w14:paraId="7D5CE486">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0" w:leftChars="0" w:firstLine="422" w:firstLineChars="200"/>
              <w:textAlignment w:val="auto"/>
              <w:rPr>
                <w:rFonts w:hint="eastAsia" w:ascii="宋体" w:hAnsi="宋体" w:cs="宋体"/>
                <w:bCs/>
                <w:color w:val="auto"/>
                <w:szCs w:val="21"/>
                <w:highlight w:val="none"/>
              </w:rPr>
            </w:pPr>
            <w:r>
              <w:rPr>
                <w:rStyle w:val="16"/>
              </w:rPr>
              <w:t>数据归属、技术文档及版权要求</w:t>
            </w:r>
            <w:r>
              <w:t xml:space="preserve"> 系统全部业务数据所有权归属学校。</w:t>
            </w:r>
            <w:r>
              <w:rPr>
                <w:rFonts w:hint="eastAsia"/>
                <w:lang w:eastAsia="zh-CN"/>
              </w:rPr>
              <w:t>供应商</w:t>
            </w:r>
            <w:r>
              <w:t>须免费向学校提供数据字典、数据库表结构、部署配置文件、操作手册等全套技术资料。 版权要求：定制开发软件，</w:t>
            </w:r>
            <w:r>
              <w:rPr>
                <w:rFonts w:hint="eastAsia"/>
                <w:lang w:eastAsia="zh-CN"/>
              </w:rPr>
              <w:t>供应商</w:t>
            </w:r>
            <w:r>
              <w:t>协助学校办理软件著作权登记并取得证书；成品软件，投标阶段须提供对应软件著作权证书及销售许可材料。</w:t>
            </w:r>
          </w:p>
        </w:tc>
      </w:tr>
      <w:tr w14:paraId="357507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00" w:type="pct"/>
            <w:tcBorders>
              <w:top w:val="single" w:color="auto" w:sz="4" w:space="0"/>
              <w:left w:val="single" w:color="auto" w:sz="4" w:space="0"/>
              <w:bottom w:val="single" w:color="auto" w:sz="4" w:space="0"/>
              <w:right w:val="single" w:color="auto" w:sz="4" w:space="0"/>
            </w:tcBorders>
            <w:noWrap w:val="0"/>
            <w:vAlign w:val="center"/>
          </w:tcPr>
          <w:p w14:paraId="3F6D4C32">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jc w:val="center"/>
              <w:textAlignment w:val="auto"/>
              <w:rPr>
                <w:rFonts w:hint="eastAsia" w:ascii="宋体" w:hAnsi="宋体" w:cs="宋体"/>
                <w:bCs/>
                <w:color w:val="auto"/>
                <w:szCs w:val="21"/>
                <w:highlight w:val="none"/>
              </w:rPr>
            </w:pPr>
            <w:r>
              <w:rPr>
                <w:rFonts w:hint="eastAsia" w:ascii="宋体" w:hAnsi="宋体" w:cs="宋体"/>
                <w:bCs/>
                <w:color w:val="auto"/>
                <w:szCs w:val="21"/>
                <w:highlight w:val="none"/>
              </w:rPr>
              <w:t>知识产权及产权担保</w:t>
            </w:r>
          </w:p>
        </w:tc>
        <w:tc>
          <w:tcPr>
            <w:tcW w:w="4199" w:type="pct"/>
            <w:tcBorders>
              <w:top w:val="single" w:color="auto" w:sz="4" w:space="0"/>
              <w:left w:val="single" w:color="auto" w:sz="4" w:space="0"/>
              <w:bottom w:val="single" w:color="auto" w:sz="4" w:space="0"/>
              <w:right w:val="single" w:color="auto" w:sz="4" w:space="0"/>
            </w:tcBorders>
            <w:noWrap w:val="0"/>
            <w:vAlign w:val="center"/>
          </w:tcPr>
          <w:p w14:paraId="03D42731">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textAlignment w:val="auto"/>
              <w:rPr>
                <w:rFonts w:hint="eastAsia" w:ascii="宋体" w:hAnsi="宋体" w:cs="宋体"/>
                <w:bCs/>
                <w:color w:val="auto"/>
                <w:szCs w:val="21"/>
                <w:highlight w:val="none"/>
              </w:rPr>
            </w:pPr>
            <w:r>
              <w:rPr>
                <w:rFonts w:hint="eastAsia" w:ascii="宋体" w:hAnsi="宋体" w:cs="宋体"/>
                <w:bCs/>
                <w:color w:val="auto"/>
                <w:szCs w:val="21"/>
                <w:highlight w:val="none"/>
              </w:rPr>
              <w:t>（1）除成品软件，二次开发取得的成果的所有权归采购单位所有，成交供应商在开发过程中所完成的各种文件、电子文档以及其他相关资料和文件，其所有权和知识产权均归采购单位所有，未经许可，成交供应商不得以任何形式转让或提供第三方。定制软件必须向采购人无条件提供软件系统及数据、开发取得的成果等技术资料。</w:t>
            </w:r>
          </w:p>
          <w:p w14:paraId="7D7C440F">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textAlignment w:val="auto"/>
              <w:rPr>
                <w:rFonts w:hint="eastAsia" w:ascii="宋体" w:hAnsi="宋体" w:cs="宋体"/>
                <w:bCs/>
                <w:color w:val="auto"/>
                <w:szCs w:val="21"/>
                <w:highlight w:val="none"/>
              </w:rPr>
            </w:pPr>
            <w:r>
              <w:rPr>
                <w:rFonts w:hint="eastAsia" w:ascii="宋体" w:hAnsi="宋体" w:cs="宋体"/>
                <w:bCs/>
                <w:color w:val="auto"/>
                <w:szCs w:val="21"/>
                <w:highlight w:val="none"/>
              </w:rPr>
              <w:t>（2）对于采购人提供给</w:t>
            </w:r>
            <w:r>
              <w:rPr>
                <w:rFonts w:hint="eastAsia" w:ascii="宋体" w:hAnsi="宋体" w:cs="宋体"/>
                <w:bCs/>
                <w:color w:val="auto"/>
                <w:szCs w:val="21"/>
                <w:highlight w:val="none"/>
                <w:lang w:eastAsia="zh-CN"/>
              </w:rPr>
              <w:t>供应商</w:t>
            </w:r>
            <w:r>
              <w:rPr>
                <w:rFonts w:hint="eastAsia" w:ascii="宋体" w:hAnsi="宋体" w:cs="宋体"/>
                <w:bCs/>
                <w:color w:val="auto"/>
                <w:szCs w:val="21"/>
                <w:highlight w:val="none"/>
              </w:rPr>
              <w:t>的资料及文件，采购人享有知识产权，</w:t>
            </w:r>
            <w:r>
              <w:rPr>
                <w:rFonts w:hint="eastAsia" w:ascii="宋体" w:hAnsi="宋体" w:cs="宋体"/>
                <w:bCs/>
                <w:color w:val="auto"/>
                <w:szCs w:val="21"/>
                <w:highlight w:val="none"/>
                <w:lang w:eastAsia="zh-CN"/>
              </w:rPr>
              <w:t>供应商</w:t>
            </w:r>
            <w:r>
              <w:rPr>
                <w:rFonts w:hint="eastAsia" w:ascii="宋体" w:hAnsi="宋体" w:cs="宋体"/>
                <w:bCs/>
                <w:color w:val="auto"/>
                <w:szCs w:val="21"/>
                <w:highlight w:val="none"/>
              </w:rPr>
              <w:t>必须履行保密及保护采购人知识产权责任。</w:t>
            </w:r>
          </w:p>
          <w:p w14:paraId="3DE82D26">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textAlignment w:val="auto"/>
              <w:rPr>
                <w:rFonts w:hint="eastAsia" w:ascii="宋体" w:hAnsi="宋体" w:cs="宋体"/>
                <w:bCs/>
                <w:color w:val="auto"/>
                <w:szCs w:val="21"/>
                <w:highlight w:val="none"/>
              </w:rPr>
            </w:pPr>
            <w:r>
              <w:rPr>
                <w:rFonts w:hint="eastAsia" w:ascii="宋体" w:hAnsi="宋体" w:cs="宋体"/>
                <w:bCs/>
                <w:color w:val="auto"/>
                <w:szCs w:val="21"/>
                <w:highlight w:val="none"/>
              </w:rPr>
              <w:t>（3）在实施过程中如果有合作开发产生的专利技术等知识产权成果，则归属双方共有，</w:t>
            </w:r>
            <w:r>
              <w:rPr>
                <w:rFonts w:hint="eastAsia" w:ascii="宋体" w:hAnsi="宋体" w:cs="宋体"/>
                <w:bCs/>
                <w:color w:val="auto"/>
                <w:szCs w:val="21"/>
                <w:highlight w:val="none"/>
                <w:lang w:eastAsia="zh-CN"/>
              </w:rPr>
              <w:t>供应商</w:t>
            </w:r>
            <w:r>
              <w:rPr>
                <w:rFonts w:hint="eastAsia" w:ascii="宋体" w:hAnsi="宋体" w:cs="宋体"/>
                <w:bCs/>
                <w:color w:val="auto"/>
                <w:szCs w:val="21"/>
                <w:highlight w:val="none"/>
              </w:rPr>
              <w:t>未经采购人同意，不得以任何名义进行任何形式的成果转化，对外合作，签订合同等。</w:t>
            </w:r>
          </w:p>
        </w:tc>
      </w:tr>
      <w:tr w14:paraId="3A0E42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07" w:hRule="atLeast"/>
          <w:jc w:val="center"/>
        </w:trPr>
        <w:tc>
          <w:tcPr>
            <w:tcW w:w="800" w:type="pct"/>
            <w:tcBorders>
              <w:top w:val="single" w:color="auto" w:sz="4" w:space="0"/>
              <w:left w:val="single" w:color="auto" w:sz="4" w:space="0"/>
              <w:bottom w:val="single" w:color="auto" w:sz="4" w:space="0"/>
              <w:right w:val="single" w:color="auto" w:sz="4" w:space="0"/>
            </w:tcBorders>
            <w:noWrap w:val="0"/>
            <w:vAlign w:val="center"/>
          </w:tcPr>
          <w:p w14:paraId="5CE06BED">
            <w:pPr>
              <w:keepNext w:val="0"/>
              <w:keepLines w:val="0"/>
              <w:pageBreakBefore w:val="0"/>
              <w:widowControl/>
              <w:shd w:val="clear" w:color="auto" w:fill="auto"/>
              <w:kinsoku/>
              <w:wordWrap w:val="0"/>
              <w:overflowPunct/>
              <w:topLinePunct w:val="0"/>
              <w:autoSpaceDE/>
              <w:autoSpaceDN/>
              <w:bidi w:val="0"/>
              <w:adjustRightInd/>
              <w:snapToGrid w:val="0"/>
              <w:spacing w:beforeAutospacing="0" w:afterAutospacing="0" w:line="240" w:lineRule="auto"/>
              <w:jc w:val="center"/>
              <w:textAlignment w:val="auto"/>
              <w:rPr>
                <w:rFonts w:hint="eastAsia" w:ascii="宋体" w:hAnsi="宋体" w:cs="宋体"/>
                <w:bCs/>
                <w:color w:val="auto"/>
                <w:szCs w:val="21"/>
                <w:highlight w:val="none"/>
              </w:rPr>
            </w:pPr>
            <w:r>
              <w:rPr>
                <w:rFonts w:hint="eastAsia" w:ascii="宋体" w:hAnsi="宋体" w:cs="宋体"/>
                <w:bCs/>
                <w:color w:val="auto"/>
                <w:szCs w:val="21"/>
                <w:highlight w:val="none"/>
              </w:rPr>
              <w:t>产品资料说明文件</w:t>
            </w:r>
          </w:p>
        </w:tc>
        <w:tc>
          <w:tcPr>
            <w:tcW w:w="4199" w:type="pct"/>
            <w:tcBorders>
              <w:top w:val="single" w:color="auto" w:sz="4" w:space="0"/>
              <w:left w:val="single" w:color="auto" w:sz="4" w:space="0"/>
              <w:bottom w:val="single" w:color="auto" w:sz="4" w:space="0"/>
              <w:right w:val="single" w:color="auto" w:sz="4" w:space="0"/>
            </w:tcBorders>
            <w:noWrap w:val="0"/>
            <w:vAlign w:val="top"/>
          </w:tcPr>
          <w:p w14:paraId="37032E3E">
            <w:pPr>
              <w:keepNext w:val="0"/>
              <w:keepLines w:val="0"/>
              <w:pageBreakBefore w:val="0"/>
              <w:widowControl/>
              <w:shd w:val="clear" w:color="auto" w:fill="auto"/>
              <w:kinsoku/>
              <w:wordWrap w:val="0"/>
              <w:overflowPunct/>
              <w:topLinePunct w:val="0"/>
              <w:autoSpaceDE/>
              <w:autoSpaceDN/>
              <w:bidi w:val="0"/>
              <w:adjustRightInd/>
              <w:snapToGrid w:val="0"/>
              <w:spacing w:beforeAutospacing="0" w:afterAutospacing="0" w:line="240" w:lineRule="auto"/>
              <w:ind w:firstLine="420" w:firstLineChars="200"/>
              <w:textAlignment w:val="auto"/>
              <w:rPr>
                <w:rFonts w:hint="eastAsia" w:ascii="宋体" w:hAnsi="宋体" w:cs="宋体"/>
                <w:bCs/>
                <w:color w:val="auto"/>
                <w:szCs w:val="21"/>
                <w:highlight w:val="none"/>
              </w:rPr>
            </w:pPr>
            <w:bookmarkStart w:id="0" w:name="_GoBack"/>
            <w:bookmarkEnd w:id="0"/>
            <w:r>
              <w:rPr>
                <w:rFonts w:hint="eastAsia" w:ascii="宋体" w:hAnsi="宋体" w:cs="宋体"/>
                <w:bCs/>
                <w:color w:val="auto"/>
                <w:szCs w:val="21"/>
                <w:highlight w:val="none"/>
              </w:rPr>
              <w:t>供应商提供设备生产厂家编写的、完整的、中文版的含有具体性能参数描述文件、公开发行的产品彩页或有关技术说明书（可以是生产厂家网页下载 的PDF或HTML文件），以供验收时核对。当响应文件提供的设备性能参数与该设备生产商提供的性能参数不符合时，以后者为准。</w:t>
            </w:r>
          </w:p>
          <w:p w14:paraId="0B0AA1EC">
            <w:pPr>
              <w:keepNext w:val="0"/>
              <w:keepLines w:val="0"/>
              <w:pageBreakBefore w:val="0"/>
              <w:widowControl/>
              <w:shd w:val="clear" w:color="auto" w:fill="auto"/>
              <w:kinsoku/>
              <w:wordWrap w:val="0"/>
              <w:overflowPunct/>
              <w:topLinePunct w:val="0"/>
              <w:autoSpaceDE/>
              <w:autoSpaceDN/>
              <w:bidi w:val="0"/>
              <w:adjustRightInd/>
              <w:snapToGrid w:val="0"/>
              <w:spacing w:beforeAutospacing="0" w:afterAutospacing="0" w:line="240" w:lineRule="auto"/>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供应商必须应对照谈判文件“采购项目技术规格、参数及要求”的采购项目技术规格、技术参数及要求，在技术响应、偏离情况说明表中逐条说明所提供货物和服务已对谈判文件的技术要求做出了实质性的响应，并如实申明与技术要求条文的响应和偏离情况。</w:t>
            </w:r>
          </w:p>
        </w:tc>
      </w:tr>
      <w:tr w14:paraId="1435A8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00" w:type="pct"/>
            <w:tcBorders>
              <w:top w:val="single" w:color="auto" w:sz="4" w:space="0"/>
              <w:left w:val="single" w:color="auto" w:sz="4" w:space="0"/>
              <w:bottom w:val="single" w:color="auto" w:sz="4" w:space="0"/>
              <w:right w:val="single" w:color="auto" w:sz="4" w:space="0"/>
            </w:tcBorders>
            <w:noWrap w:val="0"/>
            <w:vAlign w:val="center"/>
          </w:tcPr>
          <w:p w14:paraId="66BAE753">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jc w:val="center"/>
              <w:textAlignment w:val="auto"/>
              <w:rPr>
                <w:rFonts w:hint="eastAsia" w:ascii="宋体" w:hAnsi="宋体" w:cs="宋体"/>
                <w:bCs/>
                <w:color w:val="auto"/>
                <w:szCs w:val="21"/>
                <w:highlight w:val="none"/>
              </w:rPr>
            </w:pPr>
            <w:r>
              <w:rPr>
                <w:rFonts w:hint="eastAsia" w:ascii="宋体" w:hAnsi="宋体" w:cs="宋体"/>
                <w:bCs/>
                <w:color w:val="auto"/>
                <w:szCs w:val="21"/>
                <w:highlight w:val="none"/>
              </w:rPr>
              <w:t>采购标的验收标准</w:t>
            </w:r>
          </w:p>
        </w:tc>
        <w:tc>
          <w:tcPr>
            <w:tcW w:w="4199" w:type="pct"/>
            <w:tcBorders>
              <w:top w:val="single" w:color="auto" w:sz="4" w:space="0"/>
              <w:left w:val="single" w:color="auto" w:sz="4" w:space="0"/>
              <w:bottom w:val="single" w:color="auto" w:sz="4" w:space="0"/>
              <w:right w:val="single" w:color="auto" w:sz="4" w:space="0"/>
            </w:tcBorders>
            <w:noWrap w:val="0"/>
            <w:vAlign w:val="center"/>
          </w:tcPr>
          <w:p w14:paraId="0A609A85">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textAlignment w:val="auto"/>
              <w:rPr>
                <w:rFonts w:hint="eastAsia"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1、</w:t>
            </w:r>
            <w:r>
              <w:rPr>
                <w:rFonts w:hint="eastAsia" w:ascii="宋体" w:hAnsi="宋体" w:eastAsia="宋体" w:cs="宋体"/>
                <w:bCs/>
                <w:color w:val="auto"/>
                <w:szCs w:val="21"/>
                <w:highlight w:val="none"/>
              </w:rPr>
              <w:t>按现行强制执行的国家、行业、地方标准。</w:t>
            </w:r>
          </w:p>
          <w:p w14:paraId="130933B2">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textAlignment w:val="auto"/>
              <w:rPr>
                <w:rFonts w:hint="eastAsia" w:ascii="宋体" w:hAnsi="宋体" w:cs="宋体"/>
                <w:bCs/>
                <w:color w:val="auto"/>
                <w:szCs w:val="21"/>
                <w:highlight w:val="none"/>
              </w:rPr>
            </w:pP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合同履行过程中，采购人按照本项目合同及谈判文件、成交供应商响应文件承诺进行验收（或委托具有相应资质的第三方机构进行验收，费用由成交供应商承担，竞标报价时应考虑报价风险），如货物验收不合格，由成交供应商按采购人（或第三方验收机构）要求整改，成交供应商不按要求整改或拒不整改的，给采购单位造成的损失等费用由成交供应商承担。如不符合采购文件项目需要及技术需求以及提供虚假承诺的，按相关规定做违约处理，采购人依据相关法律规定追究成交供应商的责任，由此带来的一切损失由成交供应商自行承担。</w:t>
            </w:r>
          </w:p>
          <w:p w14:paraId="5A17822E">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textAlignment w:val="auto"/>
              <w:rPr>
                <w:rFonts w:hint="eastAsia" w:ascii="宋体" w:hAnsi="宋体" w:cs="宋体"/>
                <w:bCs/>
                <w:color w:val="auto"/>
                <w:szCs w:val="21"/>
                <w:highlight w:val="none"/>
              </w:rPr>
            </w:pP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rPr>
              <w:t>.所有采购标的均按采购文件的</w:t>
            </w:r>
            <w:r>
              <w:rPr>
                <w:rFonts w:hint="eastAsia" w:ascii="宋体" w:hAnsi="宋体" w:eastAsia="宋体" w:cs="宋体"/>
                <w:bCs/>
                <w:color w:val="auto"/>
                <w:szCs w:val="21"/>
                <w:highlight w:val="none"/>
                <w:lang w:val="en-US" w:eastAsia="zh-CN"/>
              </w:rPr>
              <w:t>服务内容</w:t>
            </w:r>
            <w:r>
              <w:rPr>
                <w:rFonts w:hint="eastAsia" w:ascii="宋体" w:hAnsi="宋体" w:eastAsia="宋体" w:cs="宋体"/>
                <w:bCs/>
                <w:color w:val="auto"/>
                <w:szCs w:val="21"/>
                <w:highlight w:val="none"/>
              </w:rPr>
              <w:t>和成交供应商</w:t>
            </w:r>
            <w:r>
              <w:rPr>
                <w:rFonts w:hint="eastAsia" w:ascii="宋体" w:hAnsi="宋体" w:eastAsia="宋体" w:cs="宋体"/>
                <w:bCs/>
                <w:color w:val="auto"/>
                <w:szCs w:val="21"/>
                <w:highlight w:val="none"/>
                <w:lang w:val="en-US" w:eastAsia="zh-CN"/>
              </w:rPr>
              <w:t>所提供</w:t>
            </w:r>
            <w:r>
              <w:rPr>
                <w:rFonts w:hint="eastAsia" w:ascii="宋体" w:hAnsi="宋体" w:eastAsia="宋体" w:cs="宋体"/>
                <w:bCs/>
                <w:color w:val="auto"/>
                <w:szCs w:val="21"/>
                <w:highlight w:val="none"/>
              </w:rPr>
              <w:t>响应文件中的承诺函、偏离表</w:t>
            </w:r>
            <w:r>
              <w:rPr>
                <w:rFonts w:hint="eastAsia" w:ascii="宋体" w:hAnsi="宋体" w:eastAsia="宋体" w:cs="宋体"/>
                <w:bCs/>
                <w:color w:val="auto"/>
                <w:szCs w:val="21"/>
                <w:highlight w:val="none"/>
                <w:lang w:val="en-US" w:eastAsia="zh-CN"/>
              </w:rPr>
              <w:t>等</w:t>
            </w:r>
            <w:r>
              <w:rPr>
                <w:rFonts w:hint="eastAsia" w:ascii="宋体" w:hAnsi="宋体" w:eastAsia="宋体" w:cs="宋体"/>
                <w:bCs/>
                <w:color w:val="auto"/>
                <w:szCs w:val="21"/>
                <w:highlight w:val="none"/>
              </w:rPr>
              <w:t>响应的内容进行验收。</w:t>
            </w:r>
          </w:p>
        </w:tc>
      </w:tr>
      <w:tr w14:paraId="0AFA04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00" w:type="pct"/>
            <w:tcBorders>
              <w:top w:val="single" w:color="auto" w:sz="4" w:space="0"/>
              <w:left w:val="single" w:color="auto" w:sz="4" w:space="0"/>
              <w:bottom w:val="single" w:color="auto" w:sz="4" w:space="0"/>
              <w:right w:val="single" w:color="auto" w:sz="4" w:space="0"/>
            </w:tcBorders>
            <w:noWrap w:val="0"/>
            <w:vAlign w:val="center"/>
          </w:tcPr>
          <w:p w14:paraId="583594DC">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jc w:val="center"/>
              <w:textAlignment w:val="auto"/>
              <w:rPr>
                <w:rFonts w:hint="eastAsia" w:ascii="宋体" w:hAnsi="宋体" w:cs="宋体"/>
                <w:bCs/>
                <w:color w:val="auto"/>
                <w:szCs w:val="21"/>
                <w:highlight w:val="none"/>
              </w:rPr>
            </w:pPr>
            <w:r>
              <w:rPr>
                <w:rFonts w:hint="eastAsia" w:ascii="宋体" w:hAnsi="宋体" w:cs="宋体"/>
                <w:bCs/>
                <w:color w:val="auto"/>
                <w:szCs w:val="21"/>
                <w:highlight w:val="none"/>
              </w:rPr>
              <w:t>规范标准</w:t>
            </w:r>
          </w:p>
        </w:tc>
        <w:tc>
          <w:tcPr>
            <w:tcW w:w="4199" w:type="pct"/>
            <w:tcBorders>
              <w:top w:val="single" w:color="auto" w:sz="4" w:space="0"/>
              <w:left w:val="single" w:color="auto" w:sz="4" w:space="0"/>
              <w:bottom w:val="single" w:color="auto" w:sz="4" w:space="0"/>
              <w:right w:val="single" w:color="auto" w:sz="4" w:space="0"/>
            </w:tcBorders>
            <w:noWrap w:val="0"/>
            <w:vAlign w:val="center"/>
          </w:tcPr>
          <w:p w14:paraId="10AB8C65">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textAlignment w:val="auto"/>
              <w:rPr>
                <w:rFonts w:hint="eastAsia" w:ascii="宋体" w:hAnsi="宋体" w:cs="宋体"/>
                <w:bCs/>
                <w:color w:val="auto"/>
                <w:szCs w:val="21"/>
                <w:highlight w:val="none"/>
              </w:rPr>
            </w:pPr>
            <w:r>
              <w:rPr>
                <w:rFonts w:hint="eastAsia" w:ascii="宋体" w:hAnsi="宋体" w:cs="宋体"/>
                <w:bCs/>
                <w:color w:val="auto"/>
                <w:szCs w:val="21"/>
                <w:highlight w:val="none"/>
              </w:rPr>
              <w:t>采购标的需执行的国家标准、行业标准、地方标准或者其他标准、规范。多项标准的，按最新标准或较高标准执行。</w:t>
            </w:r>
          </w:p>
        </w:tc>
      </w:tr>
      <w:tr w14:paraId="186D0B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00" w:type="pct"/>
            <w:tcBorders>
              <w:top w:val="single" w:color="auto" w:sz="4" w:space="0"/>
              <w:left w:val="single" w:color="auto" w:sz="4" w:space="0"/>
              <w:bottom w:val="single" w:color="auto" w:sz="4" w:space="0"/>
              <w:right w:val="single" w:color="auto" w:sz="4" w:space="0"/>
            </w:tcBorders>
            <w:noWrap w:val="0"/>
            <w:vAlign w:val="center"/>
          </w:tcPr>
          <w:p w14:paraId="6D37DCCA">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jc w:val="center"/>
              <w:textAlignment w:val="auto"/>
              <w:rPr>
                <w:rFonts w:ascii="宋体" w:hAnsi="宋体" w:cs="宋体"/>
                <w:bCs/>
                <w:color w:val="auto"/>
                <w:szCs w:val="21"/>
                <w:highlight w:val="none"/>
              </w:rPr>
            </w:pPr>
            <w:r>
              <w:rPr>
                <w:rFonts w:hint="eastAsia" w:ascii="宋体" w:hAnsi="宋体" w:cs="宋体"/>
                <w:bCs/>
                <w:color w:val="auto"/>
                <w:szCs w:val="21"/>
                <w:highlight w:val="none"/>
              </w:rPr>
              <w:t>保密要求</w:t>
            </w:r>
          </w:p>
        </w:tc>
        <w:tc>
          <w:tcPr>
            <w:tcW w:w="4199" w:type="pct"/>
            <w:tcBorders>
              <w:top w:val="single" w:color="auto" w:sz="4" w:space="0"/>
              <w:left w:val="single" w:color="auto" w:sz="4" w:space="0"/>
              <w:bottom w:val="single" w:color="auto" w:sz="4" w:space="0"/>
              <w:right w:val="single" w:color="auto" w:sz="4" w:space="0"/>
            </w:tcBorders>
            <w:noWrap w:val="0"/>
            <w:vAlign w:val="center"/>
          </w:tcPr>
          <w:p w14:paraId="7DAEF877">
            <w:pPr>
              <w:keepNext w:val="0"/>
              <w:keepLines w:val="0"/>
              <w:pageBreakBefore w:val="0"/>
              <w:shd w:val="clear" w:color="auto" w:fill="auto"/>
              <w:kinsoku/>
              <w:overflowPunct/>
              <w:topLinePunct w:val="0"/>
              <w:autoSpaceDE/>
              <w:autoSpaceDN/>
              <w:bidi w:val="0"/>
              <w:adjustRightInd/>
              <w:snapToGrid w:val="0"/>
              <w:spacing w:beforeAutospacing="0" w:afterAutospacing="0" w:line="240" w:lineRule="auto"/>
              <w:textAlignment w:val="auto"/>
              <w:rPr>
                <w:rFonts w:hint="eastAsia" w:ascii="宋体" w:hAnsi="宋体" w:cs="宋体"/>
                <w:bCs/>
                <w:color w:val="auto"/>
                <w:szCs w:val="21"/>
                <w:highlight w:val="none"/>
              </w:rPr>
            </w:pPr>
            <w:r>
              <w:rPr>
                <w:rFonts w:hint="eastAsia"/>
                <w:color w:val="auto"/>
                <w:highlight w:val="none"/>
              </w:rPr>
              <w:t>成交供应商必须遵守国家及采购人有关保密规章制度，采取必要的措施，履行相应的保密职责，任何情况下不能非法下载、留存、持有、使用、传播任何本项目实施期间接触到的信息，以保证相关材料不被泄露。</w:t>
            </w:r>
          </w:p>
        </w:tc>
      </w:tr>
    </w:tbl>
    <w:p w14:paraId="7DDE82E9">
      <w:pPr>
        <w:widowControl/>
        <w:jc w:val="left"/>
      </w:pPr>
    </w:p>
    <w:p w14:paraId="68E850E1">
      <w:pPr>
        <w:spacing w:line="520" w:lineRule="exact"/>
        <w:rPr>
          <w:rFonts w:hint="eastAsia" w:ascii="宋体" w:hAnsi="宋体" w:eastAsia="宋体" w:cs="宋体"/>
          <w:kern w:val="0"/>
          <w:sz w:val="24"/>
          <w:shd w:val="clear" w:color="auto" w:fill="FFFFFF"/>
        </w:rPr>
        <w:sectPr>
          <w:footerReference r:id="rId3"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329E6C61">
      <w:pPr>
        <w:spacing w:line="520" w:lineRule="exact"/>
        <w:rPr>
          <w:rFonts w:hint="eastAsia" w:ascii="宋体" w:hAnsi="宋体" w:eastAsia="宋体" w:cs="宋体"/>
          <w:b/>
          <w:bCs/>
          <w:kern w:val="0"/>
          <w:sz w:val="24"/>
          <w:shd w:val="clear" w:color="auto" w:fill="FFFFFF"/>
        </w:rPr>
      </w:pPr>
      <w:r>
        <w:rPr>
          <w:rFonts w:hint="eastAsia" w:ascii="宋体" w:hAnsi="宋体" w:eastAsia="宋体" w:cs="宋体"/>
          <w:b/>
          <w:bCs/>
          <w:kern w:val="0"/>
          <w:sz w:val="24"/>
          <w:shd w:val="clear" w:color="auto" w:fill="FFFFFF"/>
        </w:rPr>
        <w:t>附件2：报价表</w:t>
      </w:r>
    </w:p>
    <w:tbl>
      <w:tblPr>
        <w:tblStyle w:val="13"/>
        <w:tblW w:w="91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695"/>
        <w:gridCol w:w="1725"/>
        <w:gridCol w:w="1912"/>
        <w:gridCol w:w="1513"/>
        <w:gridCol w:w="1525"/>
      </w:tblGrid>
      <w:tr w14:paraId="5A84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150" w:type="dxa"/>
            <w:gridSpan w:val="6"/>
            <w:shd w:val="clear" w:color="auto" w:fill="auto"/>
            <w:vAlign w:val="center"/>
          </w:tcPr>
          <w:p w14:paraId="28376F6B">
            <w:pPr>
              <w:widowControl/>
              <w:jc w:val="center"/>
              <w:textAlignment w:val="center"/>
              <w:rPr>
                <w:rFonts w:hint="eastAsia" w:ascii="宋体" w:hAnsi="宋体" w:eastAsia="宋体" w:cs="宋体"/>
                <w:color w:val="000000"/>
                <w:sz w:val="22"/>
                <w:szCs w:val="22"/>
              </w:rPr>
            </w:pPr>
            <w:r>
              <w:rPr>
                <w:rFonts w:hint="eastAsia" w:ascii="宋体" w:hAnsi="宋体" w:eastAsia="宋体" w:cs="宋体"/>
                <w:b/>
                <w:bCs/>
                <w:color w:val="000000"/>
                <w:kern w:val="0"/>
                <w:sz w:val="22"/>
                <w:szCs w:val="22"/>
                <w:lang w:bidi="ar"/>
              </w:rPr>
              <w:t>一、</w:t>
            </w:r>
            <w:r>
              <w:rPr>
                <w:rFonts w:hint="eastAsia" w:ascii="宋体" w:hAnsi="宋体" w:eastAsia="宋体"/>
                <w:b/>
                <w:bCs/>
              </w:rPr>
              <w:t>项目管理系统一期</w:t>
            </w:r>
          </w:p>
        </w:tc>
      </w:tr>
      <w:tr w14:paraId="7B1BA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80" w:type="dxa"/>
            <w:shd w:val="clear" w:color="auto" w:fill="auto"/>
            <w:vAlign w:val="center"/>
          </w:tcPr>
          <w:p w14:paraId="10AFC8B9">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序号</w:t>
            </w:r>
          </w:p>
        </w:tc>
        <w:tc>
          <w:tcPr>
            <w:tcW w:w="1695" w:type="dxa"/>
            <w:shd w:val="clear" w:color="auto" w:fill="auto"/>
            <w:vAlign w:val="center"/>
          </w:tcPr>
          <w:p w14:paraId="4926A0FB">
            <w:pPr>
              <w:widowControl/>
              <w:jc w:val="center"/>
              <w:textAlignment w:val="center"/>
              <w:rPr>
                <w:rFonts w:hint="eastAsia" w:ascii="宋体" w:hAnsi="宋体" w:eastAsia="宋体" w:cs="宋体"/>
                <w:color w:val="000000"/>
                <w:sz w:val="22"/>
                <w:szCs w:val="22"/>
              </w:rPr>
            </w:pPr>
            <w:r>
              <w:rPr>
                <w:rFonts w:hint="eastAsia" w:ascii="仿宋_GB2312" w:hAnsi="宋体" w:eastAsia="仿宋_GB2312" w:cs="宋体"/>
                <w:color w:val="000000" w:themeColor="text1"/>
                <w:sz w:val="24"/>
                <w:lang w:eastAsia="zh-CN"/>
                <w14:textFill>
                  <w14:solidFill>
                    <w14:schemeClr w14:val="tx1"/>
                  </w14:solidFill>
                </w14:textFill>
              </w:rPr>
              <w:t>系统模块名称</w:t>
            </w:r>
          </w:p>
        </w:tc>
        <w:tc>
          <w:tcPr>
            <w:tcW w:w="1725" w:type="dxa"/>
            <w:shd w:val="clear" w:color="auto" w:fill="auto"/>
            <w:vAlign w:val="center"/>
          </w:tcPr>
          <w:p w14:paraId="4EFE9CB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功能参数</w:t>
            </w:r>
          </w:p>
        </w:tc>
        <w:tc>
          <w:tcPr>
            <w:tcW w:w="1912" w:type="dxa"/>
            <w:shd w:val="clear" w:color="auto" w:fill="auto"/>
            <w:vAlign w:val="center"/>
          </w:tcPr>
          <w:p w14:paraId="74688A20">
            <w:pPr>
              <w:widowControl/>
              <w:jc w:val="center"/>
              <w:textAlignment w:val="center"/>
              <w:rPr>
                <w:rFonts w:hint="default" w:ascii="宋体" w:hAnsi="宋体" w:eastAsia="宋体" w:cs="宋体"/>
                <w:color w:val="000000"/>
                <w:sz w:val="22"/>
                <w:szCs w:val="22"/>
                <w:lang w:val="en-US" w:eastAsia="zh-CN"/>
              </w:rPr>
            </w:pPr>
            <w:r>
              <w:rPr>
                <w:rFonts w:hint="eastAsia" w:ascii="宋体" w:hAnsi="宋体" w:eastAsia="宋体" w:cs="宋体"/>
                <w:color w:val="000000"/>
                <w:kern w:val="0"/>
                <w:sz w:val="22"/>
                <w:szCs w:val="22"/>
                <w:lang w:bidi="ar"/>
              </w:rPr>
              <w:t>数量</w:t>
            </w:r>
            <w:r>
              <w:rPr>
                <w:rFonts w:hint="eastAsia" w:ascii="宋体" w:hAnsi="宋体" w:eastAsia="宋体" w:cs="宋体"/>
                <w:color w:val="000000"/>
                <w:kern w:val="0"/>
                <w:sz w:val="22"/>
                <w:szCs w:val="22"/>
                <w:lang w:val="en-US" w:eastAsia="zh-CN" w:bidi="ar"/>
              </w:rPr>
              <w:t>及单位</w:t>
            </w:r>
          </w:p>
        </w:tc>
        <w:tc>
          <w:tcPr>
            <w:tcW w:w="1513" w:type="dxa"/>
            <w:shd w:val="clear" w:color="auto" w:fill="auto"/>
            <w:vAlign w:val="center"/>
          </w:tcPr>
          <w:p w14:paraId="39B5E234">
            <w:pPr>
              <w:widowControl/>
              <w:jc w:val="center"/>
              <w:textAlignment w:val="bottom"/>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单价</w:t>
            </w:r>
          </w:p>
          <w:p w14:paraId="56D1EA51">
            <w:pPr>
              <w:widowControl/>
              <w:jc w:val="center"/>
              <w:textAlignment w:val="bottom"/>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（元）</w:t>
            </w:r>
          </w:p>
        </w:tc>
        <w:tc>
          <w:tcPr>
            <w:tcW w:w="1525" w:type="dxa"/>
            <w:shd w:val="clear" w:color="auto" w:fill="auto"/>
            <w:vAlign w:val="center"/>
          </w:tcPr>
          <w:p w14:paraId="62EA2D68">
            <w:pPr>
              <w:widowControl/>
              <w:jc w:val="center"/>
              <w:textAlignment w:val="bottom"/>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总价</w:t>
            </w:r>
          </w:p>
          <w:p w14:paraId="07746F97">
            <w:pPr>
              <w:widowControl/>
              <w:jc w:val="center"/>
              <w:textAlignment w:val="bottom"/>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（元）</w:t>
            </w:r>
          </w:p>
        </w:tc>
      </w:tr>
      <w:tr w14:paraId="0DD2E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80" w:type="dxa"/>
            <w:shd w:val="clear" w:color="auto" w:fill="auto"/>
            <w:vAlign w:val="center"/>
          </w:tcPr>
          <w:p w14:paraId="3663BAE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w:t>
            </w:r>
          </w:p>
        </w:tc>
        <w:tc>
          <w:tcPr>
            <w:tcW w:w="1695" w:type="dxa"/>
            <w:shd w:val="clear" w:color="auto" w:fill="auto"/>
            <w:vAlign w:val="center"/>
          </w:tcPr>
          <w:p w14:paraId="22D32D0D">
            <w:pPr>
              <w:widowControl/>
              <w:jc w:val="center"/>
              <w:textAlignment w:val="center"/>
              <w:rPr>
                <w:rFonts w:hint="eastAsia" w:ascii="宋体" w:hAnsi="宋体" w:eastAsia="宋体" w:cs="宋体"/>
                <w:color w:val="000000"/>
                <w:sz w:val="22"/>
                <w:szCs w:val="22"/>
              </w:rPr>
            </w:pPr>
          </w:p>
        </w:tc>
        <w:tc>
          <w:tcPr>
            <w:tcW w:w="1725" w:type="dxa"/>
            <w:shd w:val="clear" w:color="auto" w:fill="auto"/>
            <w:vAlign w:val="center"/>
          </w:tcPr>
          <w:p w14:paraId="405DCCBE">
            <w:pPr>
              <w:jc w:val="center"/>
              <w:rPr>
                <w:rFonts w:hint="eastAsia" w:ascii="宋体" w:hAnsi="宋体" w:eastAsia="宋体" w:cs="宋体"/>
                <w:color w:val="000000"/>
                <w:sz w:val="22"/>
                <w:szCs w:val="22"/>
              </w:rPr>
            </w:pPr>
          </w:p>
        </w:tc>
        <w:tc>
          <w:tcPr>
            <w:tcW w:w="1912" w:type="dxa"/>
            <w:shd w:val="clear" w:color="auto" w:fill="auto"/>
            <w:vAlign w:val="center"/>
          </w:tcPr>
          <w:p w14:paraId="6B10A132">
            <w:pPr>
              <w:widowControl/>
              <w:jc w:val="center"/>
              <w:textAlignment w:val="center"/>
              <w:rPr>
                <w:rFonts w:hint="eastAsia" w:ascii="宋体" w:hAnsi="宋体" w:eastAsia="宋体" w:cs="宋体"/>
                <w:color w:val="000000"/>
                <w:sz w:val="22"/>
                <w:szCs w:val="22"/>
              </w:rPr>
            </w:pPr>
          </w:p>
        </w:tc>
        <w:tc>
          <w:tcPr>
            <w:tcW w:w="1513" w:type="dxa"/>
            <w:shd w:val="clear" w:color="auto" w:fill="auto"/>
            <w:noWrap/>
            <w:vAlign w:val="bottom"/>
          </w:tcPr>
          <w:p w14:paraId="623E345C">
            <w:pPr>
              <w:jc w:val="center"/>
              <w:rPr>
                <w:rFonts w:hint="eastAsia" w:ascii="宋体" w:hAnsi="宋体" w:eastAsia="宋体" w:cs="宋体"/>
                <w:color w:val="000000"/>
                <w:sz w:val="22"/>
                <w:szCs w:val="22"/>
              </w:rPr>
            </w:pPr>
          </w:p>
        </w:tc>
        <w:tc>
          <w:tcPr>
            <w:tcW w:w="1525" w:type="dxa"/>
            <w:shd w:val="clear" w:color="auto" w:fill="auto"/>
            <w:noWrap/>
            <w:vAlign w:val="bottom"/>
          </w:tcPr>
          <w:p w14:paraId="6AB9B6D0">
            <w:pPr>
              <w:jc w:val="center"/>
              <w:rPr>
                <w:rFonts w:hint="eastAsia" w:ascii="宋体" w:hAnsi="宋体" w:eastAsia="宋体" w:cs="宋体"/>
                <w:color w:val="000000"/>
                <w:sz w:val="22"/>
                <w:szCs w:val="22"/>
              </w:rPr>
            </w:pPr>
          </w:p>
        </w:tc>
      </w:tr>
      <w:tr w14:paraId="5278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80" w:type="dxa"/>
            <w:shd w:val="clear" w:color="auto" w:fill="auto"/>
            <w:vAlign w:val="center"/>
          </w:tcPr>
          <w:p w14:paraId="44AEDF54">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w:t>
            </w:r>
          </w:p>
        </w:tc>
        <w:tc>
          <w:tcPr>
            <w:tcW w:w="1695" w:type="dxa"/>
            <w:shd w:val="clear" w:color="auto" w:fill="auto"/>
            <w:vAlign w:val="center"/>
          </w:tcPr>
          <w:p w14:paraId="07299D23">
            <w:pPr>
              <w:widowControl/>
              <w:jc w:val="center"/>
              <w:textAlignment w:val="center"/>
              <w:rPr>
                <w:rFonts w:hint="eastAsia" w:ascii="宋体" w:hAnsi="宋体" w:eastAsia="宋体" w:cs="宋体"/>
                <w:color w:val="000000"/>
                <w:sz w:val="22"/>
                <w:szCs w:val="22"/>
              </w:rPr>
            </w:pPr>
          </w:p>
        </w:tc>
        <w:tc>
          <w:tcPr>
            <w:tcW w:w="1725" w:type="dxa"/>
            <w:shd w:val="clear" w:color="auto" w:fill="auto"/>
            <w:vAlign w:val="center"/>
          </w:tcPr>
          <w:p w14:paraId="7838B023">
            <w:pPr>
              <w:jc w:val="center"/>
              <w:rPr>
                <w:rFonts w:hint="eastAsia" w:ascii="宋体" w:hAnsi="宋体" w:eastAsia="宋体" w:cs="宋体"/>
                <w:color w:val="000000"/>
                <w:sz w:val="22"/>
                <w:szCs w:val="22"/>
              </w:rPr>
            </w:pPr>
          </w:p>
        </w:tc>
        <w:tc>
          <w:tcPr>
            <w:tcW w:w="1912" w:type="dxa"/>
            <w:shd w:val="clear" w:color="auto" w:fill="auto"/>
            <w:vAlign w:val="center"/>
          </w:tcPr>
          <w:p w14:paraId="18E99D16">
            <w:pPr>
              <w:widowControl/>
              <w:jc w:val="center"/>
              <w:textAlignment w:val="center"/>
              <w:rPr>
                <w:rFonts w:hint="eastAsia" w:ascii="宋体" w:hAnsi="宋体" w:eastAsia="宋体" w:cs="宋体"/>
                <w:color w:val="000000"/>
                <w:sz w:val="22"/>
                <w:szCs w:val="22"/>
              </w:rPr>
            </w:pPr>
          </w:p>
        </w:tc>
        <w:tc>
          <w:tcPr>
            <w:tcW w:w="1513" w:type="dxa"/>
            <w:shd w:val="clear" w:color="auto" w:fill="auto"/>
            <w:noWrap/>
            <w:vAlign w:val="bottom"/>
          </w:tcPr>
          <w:p w14:paraId="088F31E2">
            <w:pPr>
              <w:jc w:val="center"/>
              <w:rPr>
                <w:rFonts w:hint="eastAsia" w:ascii="宋体" w:hAnsi="宋体" w:eastAsia="宋体" w:cs="宋体"/>
                <w:color w:val="000000"/>
                <w:sz w:val="22"/>
                <w:szCs w:val="22"/>
              </w:rPr>
            </w:pPr>
          </w:p>
        </w:tc>
        <w:tc>
          <w:tcPr>
            <w:tcW w:w="1525" w:type="dxa"/>
            <w:shd w:val="clear" w:color="auto" w:fill="auto"/>
            <w:noWrap/>
            <w:vAlign w:val="bottom"/>
          </w:tcPr>
          <w:p w14:paraId="7E896614">
            <w:pPr>
              <w:jc w:val="center"/>
              <w:rPr>
                <w:rFonts w:hint="eastAsia" w:ascii="宋体" w:hAnsi="宋体" w:eastAsia="宋体" w:cs="宋体"/>
                <w:color w:val="000000"/>
                <w:sz w:val="22"/>
                <w:szCs w:val="22"/>
              </w:rPr>
            </w:pPr>
          </w:p>
        </w:tc>
      </w:tr>
      <w:tr w14:paraId="4120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80" w:type="dxa"/>
            <w:shd w:val="clear" w:color="auto" w:fill="auto"/>
            <w:vAlign w:val="center"/>
          </w:tcPr>
          <w:p w14:paraId="2969C454">
            <w:pPr>
              <w:widowControl/>
              <w:jc w:val="center"/>
              <w:textAlignment w:val="center"/>
              <w:rPr>
                <w:rFonts w:hint="eastAsia" w:ascii="宋体" w:hAnsi="宋体" w:eastAsia="宋体" w:cs="宋体"/>
                <w:color w:val="000000"/>
                <w:sz w:val="22"/>
                <w:szCs w:val="22"/>
              </w:rPr>
            </w:pPr>
            <w:r>
              <w:rPr>
                <w:rFonts w:hint="default" w:ascii="Arial" w:hAnsi="Arial" w:eastAsia="宋体" w:cs="Arial"/>
                <w:color w:val="000000"/>
                <w:sz w:val="22"/>
                <w:szCs w:val="22"/>
              </w:rPr>
              <w:t>…</w:t>
            </w:r>
          </w:p>
        </w:tc>
        <w:tc>
          <w:tcPr>
            <w:tcW w:w="1695" w:type="dxa"/>
            <w:shd w:val="clear" w:color="auto" w:fill="auto"/>
            <w:vAlign w:val="center"/>
          </w:tcPr>
          <w:p w14:paraId="4F4D1399">
            <w:pPr>
              <w:widowControl/>
              <w:jc w:val="center"/>
              <w:textAlignment w:val="center"/>
              <w:rPr>
                <w:rFonts w:hint="eastAsia" w:ascii="宋体" w:hAnsi="宋体" w:eastAsia="宋体" w:cs="宋体"/>
                <w:color w:val="000000"/>
                <w:sz w:val="22"/>
                <w:szCs w:val="22"/>
              </w:rPr>
            </w:pPr>
          </w:p>
        </w:tc>
        <w:tc>
          <w:tcPr>
            <w:tcW w:w="1725" w:type="dxa"/>
            <w:shd w:val="clear" w:color="auto" w:fill="auto"/>
            <w:vAlign w:val="center"/>
          </w:tcPr>
          <w:p w14:paraId="70524093">
            <w:pPr>
              <w:jc w:val="center"/>
              <w:rPr>
                <w:rFonts w:hint="eastAsia" w:ascii="宋体" w:hAnsi="宋体" w:eastAsia="宋体" w:cs="宋体"/>
                <w:color w:val="000000"/>
                <w:sz w:val="22"/>
                <w:szCs w:val="22"/>
              </w:rPr>
            </w:pPr>
          </w:p>
        </w:tc>
        <w:tc>
          <w:tcPr>
            <w:tcW w:w="1912" w:type="dxa"/>
            <w:shd w:val="clear" w:color="auto" w:fill="auto"/>
            <w:vAlign w:val="center"/>
          </w:tcPr>
          <w:p w14:paraId="112956B0">
            <w:pPr>
              <w:widowControl/>
              <w:jc w:val="center"/>
              <w:textAlignment w:val="center"/>
              <w:rPr>
                <w:rFonts w:hint="eastAsia" w:ascii="宋体" w:hAnsi="宋体" w:eastAsia="宋体" w:cs="宋体"/>
                <w:color w:val="000000"/>
                <w:sz w:val="22"/>
                <w:szCs w:val="22"/>
              </w:rPr>
            </w:pPr>
          </w:p>
        </w:tc>
        <w:tc>
          <w:tcPr>
            <w:tcW w:w="1513" w:type="dxa"/>
            <w:shd w:val="clear" w:color="auto" w:fill="auto"/>
            <w:noWrap/>
            <w:vAlign w:val="bottom"/>
          </w:tcPr>
          <w:p w14:paraId="7B28B91C">
            <w:pPr>
              <w:jc w:val="center"/>
              <w:rPr>
                <w:rFonts w:hint="eastAsia" w:ascii="宋体" w:hAnsi="宋体" w:eastAsia="宋体" w:cs="宋体"/>
                <w:color w:val="000000"/>
                <w:sz w:val="22"/>
                <w:szCs w:val="22"/>
              </w:rPr>
            </w:pPr>
          </w:p>
        </w:tc>
        <w:tc>
          <w:tcPr>
            <w:tcW w:w="1525" w:type="dxa"/>
            <w:shd w:val="clear" w:color="auto" w:fill="auto"/>
            <w:noWrap/>
            <w:vAlign w:val="bottom"/>
          </w:tcPr>
          <w:p w14:paraId="49D51BAF">
            <w:pPr>
              <w:jc w:val="center"/>
              <w:rPr>
                <w:rFonts w:hint="eastAsia" w:ascii="宋体" w:hAnsi="宋体" w:eastAsia="宋体" w:cs="宋体"/>
                <w:color w:val="000000"/>
                <w:sz w:val="22"/>
                <w:szCs w:val="22"/>
              </w:rPr>
            </w:pPr>
          </w:p>
        </w:tc>
      </w:tr>
      <w:tr w14:paraId="05469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150" w:type="dxa"/>
            <w:gridSpan w:val="6"/>
            <w:shd w:val="clear" w:color="auto" w:fill="auto"/>
            <w:vAlign w:val="bottom"/>
          </w:tcPr>
          <w:p w14:paraId="793A1C58">
            <w:pPr>
              <w:widowControl/>
              <w:jc w:val="center"/>
              <w:textAlignment w:val="bottom"/>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小计：大写：         小写（￥           ）</w:t>
            </w:r>
          </w:p>
        </w:tc>
      </w:tr>
      <w:tr w14:paraId="4D2D4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150" w:type="dxa"/>
            <w:gridSpan w:val="6"/>
            <w:shd w:val="clear" w:color="auto" w:fill="auto"/>
            <w:vAlign w:val="center"/>
          </w:tcPr>
          <w:p w14:paraId="6B283A87">
            <w:pPr>
              <w:widowControl/>
              <w:jc w:val="center"/>
              <w:textAlignment w:val="center"/>
              <w:rPr>
                <w:rFonts w:hint="eastAsia" w:ascii="宋体" w:hAnsi="宋体" w:eastAsia="宋体" w:cs="宋体"/>
                <w:color w:val="000000"/>
                <w:sz w:val="22"/>
                <w:szCs w:val="22"/>
                <w:lang w:eastAsia="zh-CN"/>
              </w:rPr>
            </w:pPr>
            <w:r>
              <w:rPr>
                <w:rFonts w:hint="eastAsia" w:ascii="宋体" w:hAnsi="宋体" w:eastAsia="宋体" w:cs="宋体"/>
                <w:b/>
                <w:bCs/>
                <w:color w:val="000000"/>
                <w:kern w:val="0"/>
                <w:sz w:val="22"/>
                <w:szCs w:val="22"/>
                <w:lang w:bidi="ar"/>
              </w:rPr>
              <w:t>二、</w:t>
            </w:r>
            <w:r>
              <w:rPr>
                <w:rFonts w:hint="eastAsia" w:ascii="宋体" w:hAnsi="宋体" w:eastAsia="宋体"/>
                <w:b/>
                <w:bCs/>
              </w:rPr>
              <w:t>智能餐饮管理系统</w:t>
            </w:r>
            <w:r>
              <w:rPr>
                <w:rFonts w:hint="eastAsia" w:ascii="宋体" w:hAnsi="宋体" w:eastAsia="宋体"/>
                <w:b/>
                <w:bCs/>
                <w:lang w:eastAsia="zh-CN"/>
              </w:rPr>
              <w:t>（</w:t>
            </w:r>
            <w:r>
              <w:rPr>
                <w:rFonts w:hint="eastAsia" w:ascii="宋体" w:hAnsi="宋体" w:eastAsia="宋体"/>
                <w:b/>
                <w:bCs/>
                <w:lang w:val="en-US" w:eastAsia="zh-CN"/>
              </w:rPr>
              <w:t>二期</w:t>
            </w:r>
            <w:r>
              <w:rPr>
                <w:rFonts w:hint="eastAsia" w:ascii="宋体" w:hAnsi="宋体" w:eastAsia="宋体"/>
                <w:b/>
                <w:bCs/>
                <w:lang w:eastAsia="zh-CN"/>
              </w:rPr>
              <w:t>）</w:t>
            </w:r>
          </w:p>
        </w:tc>
      </w:tr>
      <w:tr w14:paraId="54FDC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80" w:type="dxa"/>
            <w:shd w:val="clear" w:color="auto" w:fill="auto"/>
            <w:vAlign w:val="center"/>
          </w:tcPr>
          <w:p w14:paraId="3CB3A755">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序号</w:t>
            </w:r>
          </w:p>
        </w:tc>
        <w:tc>
          <w:tcPr>
            <w:tcW w:w="1695" w:type="dxa"/>
            <w:shd w:val="clear" w:color="auto" w:fill="auto"/>
            <w:vAlign w:val="center"/>
          </w:tcPr>
          <w:p w14:paraId="6381FC3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系统模块名称</w:t>
            </w:r>
          </w:p>
        </w:tc>
        <w:tc>
          <w:tcPr>
            <w:tcW w:w="1725" w:type="dxa"/>
            <w:shd w:val="clear" w:color="auto" w:fill="auto"/>
            <w:vAlign w:val="center"/>
          </w:tcPr>
          <w:p w14:paraId="7944F986">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功能参数</w:t>
            </w:r>
          </w:p>
        </w:tc>
        <w:tc>
          <w:tcPr>
            <w:tcW w:w="1912" w:type="dxa"/>
            <w:shd w:val="clear" w:color="auto" w:fill="auto"/>
            <w:vAlign w:val="center"/>
          </w:tcPr>
          <w:p w14:paraId="722DA14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数量</w:t>
            </w:r>
            <w:r>
              <w:rPr>
                <w:rFonts w:hint="eastAsia" w:ascii="宋体" w:hAnsi="宋体" w:eastAsia="宋体" w:cs="宋体"/>
                <w:color w:val="000000"/>
                <w:kern w:val="0"/>
                <w:sz w:val="22"/>
                <w:szCs w:val="22"/>
                <w:lang w:val="en-US" w:eastAsia="zh-CN" w:bidi="ar"/>
              </w:rPr>
              <w:t>及单位</w:t>
            </w:r>
          </w:p>
        </w:tc>
        <w:tc>
          <w:tcPr>
            <w:tcW w:w="1513" w:type="dxa"/>
            <w:shd w:val="clear" w:color="auto" w:fill="auto"/>
            <w:vAlign w:val="bottom"/>
          </w:tcPr>
          <w:p w14:paraId="57D6D105">
            <w:pPr>
              <w:widowControl/>
              <w:jc w:val="center"/>
              <w:textAlignment w:val="bottom"/>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单价</w:t>
            </w:r>
          </w:p>
          <w:p w14:paraId="0404FB47">
            <w:pPr>
              <w:widowControl/>
              <w:jc w:val="center"/>
              <w:textAlignment w:val="bottom"/>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（元）</w:t>
            </w:r>
          </w:p>
        </w:tc>
        <w:tc>
          <w:tcPr>
            <w:tcW w:w="1525" w:type="dxa"/>
            <w:shd w:val="clear" w:color="auto" w:fill="auto"/>
            <w:vAlign w:val="bottom"/>
          </w:tcPr>
          <w:p w14:paraId="7C3BD183">
            <w:pPr>
              <w:widowControl/>
              <w:jc w:val="center"/>
              <w:textAlignment w:val="bottom"/>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总价</w:t>
            </w:r>
          </w:p>
          <w:p w14:paraId="09F55CE0">
            <w:pPr>
              <w:widowControl/>
              <w:jc w:val="center"/>
              <w:textAlignment w:val="bottom"/>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（元）</w:t>
            </w:r>
          </w:p>
        </w:tc>
      </w:tr>
      <w:tr w14:paraId="16EF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80" w:type="dxa"/>
            <w:shd w:val="clear" w:color="auto" w:fill="auto"/>
            <w:vAlign w:val="center"/>
          </w:tcPr>
          <w:p w14:paraId="452ADAA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w:t>
            </w:r>
          </w:p>
        </w:tc>
        <w:tc>
          <w:tcPr>
            <w:tcW w:w="1695" w:type="dxa"/>
            <w:shd w:val="clear" w:color="auto" w:fill="auto"/>
            <w:vAlign w:val="center"/>
          </w:tcPr>
          <w:p w14:paraId="321EBEF3">
            <w:pPr>
              <w:widowControl/>
              <w:jc w:val="center"/>
              <w:textAlignment w:val="center"/>
              <w:rPr>
                <w:rFonts w:hint="eastAsia" w:ascii="宋体" w:hAnsi="宋体" w:eastAsia="宋体" w:cs="宋体"/>
                <w:color w:val="000000"/>
                <w:sz w:val="22"/>
                <w:szCs w:val="22"/>
              </w:rPr>
            </w:pPr>
          </w:p>
        </w:tc>
        <w:tc>
          <w:tcPr>
            <w:tcW w:w="1725" w:type="dxa"/>
            <w:shd w:val="clear" w:color="auto" w:fill="auto"/>
            <w:vAlign w:val="center"/>
          </w:tcPr>
          <w:p w14:paraId="425DD7D2">
            <w:pPr>
              <w:jc w:val="center"/>
              <w:rPr>
                <w:rFonts w:hint="eastAsia" w:ascii="宋体" w:hAnsi="宋体" w:eastAsia="宋体" w:cs="宋体"/>
                <w:color w:val="000000"/>
                <w:sz w:val="22"/>
                <w:szCs w:val="22"/>
              </w:rPr>
            </w:pPr>
          </w:p>
        </w:tc>
        <w:tc>
          <w:tcPr>
            <w:tcW w:w="1912" w:type="dxa"/>
            <w:shd w:val="clear" w:color="auto" w:fill="auto"/>
            <w:vAlign w:val="center"/>
          </w:tcPr>
          <w:p w14:paraId="5E3ABFCE">
            <w:pPr>
              <w:widowControl/>
              <w:jc w:val="center"/>
              <w:textAlignment w:val="center"/>
              <w:rPr>
                <w:rFonts w:hint="eastAsia" w:ascii="宋体" w:hAnsi="宋体" w:eastAsia="宋体" w:cs="宋体"/>
                <w:color w:val="000000"/>
                <w:sz w:val="22"/>
                <w:szCs w:val="22"/>
              </w:rPr>
            </w:pPr>
          </w:p>
        </w:tc>
        <w:tc>
          <w:tcPr>
            <w:tcW w:w="1513" w:type="dxa"/>
            <w:shd w:val="clear" w:color="auto" w:fill="auto"/>
            <w:noWrap/>
            <w:vAlign w:val="bottom"/>
          </w:tcPr>
          <w:p w14:paraId="6DE4E6AA">
            <w:pPr>
              <w:jc w:val="center"/>
              <w:rPr>
                <w:rFonts w:hint="eastAsia" w:ascii="宋体" w:hAnsi="宋体" w:eastAsia="宋体" w:cs="宋体"/>
                <w:color w:val="000000"/>
                <w:sz w:val="22"/>
                <w:szCs w:val="22"/>
              </w:rPr>
            </w:pPr>
          </w:p>
        </w:tc>
        <w:tc>
          <w:tcPr>
            <w:tcW w:w="1525" w:type="dxa"/>
            <w:shd w:val="clear" w:color="auto" w:fill="auto"/>
            <w:noWrap/>
            <w:vAlign w:val="bottom"/>
          </w:tcPr>
          <w:p w14:paraId="47EBDEE4">
            <w:pPr>
              <w:jc w:val="center"/>
              <w:rPr>
                <w:rFonts w:hint="eastAsia" w:ascii="宋体" w:hAnsi="宋体" w:eastAsia="宋体" w:cs="宋体"/>
                <w:color w:val="000000"/>
                <w:sz w:val="22"/>
                <w:szCs w:val="22"/>
              </w:rPr>
            </w:pPr>
          </w:p>
        </w:tc>
      </w:tr>
      <w:tr w14:paraId="0FFA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80" w:type="dxa"/>
            <w:shd w:val="clear" w:color="auto" w:fill="auto"/>
            <w:vAlign w:val="center"/>
          </w:tcPr>
          <w:p w14:paraId="4E74B38D">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w:t>
            </w:r>
          </w:p>
        </w:tc>
        <w:tc>
          <w:tcPr>
            <w:tcW w:w="1695" w:type="dxa"/>
            <w:shd w:val="clear" w:color="auto" w:fill="auto"/>
            <w:vAlign w:val="center"/>
          </w:tcPr>
          <w:p w14:paraId="2561F32C">
            <w:pPr>
              <w:widowControl/>
              <w:jc w:val="center"/>
              <w:textAlignment w:val="center"/>
              <w:rPr>
                <w:rFonts w:hint="eastAsia" w:ascii="宋体" w:hAnsi="宋体" w:eastAsia="宋体" w:cs="宋体"/>
                <w:color w:val="000000"/>
                <w:sz w:val="22"/>
                <w:szCs w:val="22"/>
              </w:rPr>
            </w:pPr>
          </w:p>
        </w:tc>
        <w:tc>
          <w:tcPr>
            <w:tcW w:w="1725" w:type="dxa"/>
            <w:shd w:val="clear" w:color="auto" w:fill="auto"/>
            <w:vAlign w:val="center"/>
          </w:tcPr>
          <w:p w14:paraId="22581A38">
            <w:pPr>
              <w:jc w:val="center"/>
              <w:rPr>
                <w:rFonts w:hint="eastAsia" w:ascii="宋体" w:hAnsi="宋体" w:eastAsia="宋体" w:cs="宋体"/>
                <w:color w:val="000000"/>
                <w:sz w:val="22"/>
                <w:szCs w:val="22"/>
              </w:rPr>
            </w:pPr>
          </w:p>
        </w:tc>
        <w:tc>
          <w:tcPr>
            <w:tcW w:w="1912" w:type="dxa"/>
            <w:shd w:val="clear" w:color="auto" w:fill="auto"/>
            <w:vAlign w:val="center"/>
          </w:tcPr>
          <w:p w14:paraId="5193D220">
            <w:pPr>
              <w:widowControl/>
              <w:jc w:val="center"/>
              <w:textAlignment w:val="center"/>
              <w:rPr>
                <w:rFonts w:hint="eastAsia" w:ascii="宋体" w:hAnsi="宋体" w:eastAsia="宋体" w:cs="宋体"/>
                <w:color w:val="000000"/>
                <w:sz w:val="22"/>
                <w:szCs w:val="22"/>
              </w:rPr>
            </w:pPr>
          </w:p>
        </w:tc>
        <w:tc>
          <w:tcPr>
            <w:tcW w:w="1513" w:type="dxa"/>
            <w:shd w:val="clear" w:color="auto" w:fill="auto"/>
            <w:noWrap/>
            <w:vAlign w:val="bottom"/>
          </w:tcPr>
          <w:p w14:paraId="62D56C4B">
            <w:pPr>
              <w:jc w:val="center"/>
              <w:rPr>
                <w:rFonts w:hint="eastAsia" w:ascii="宋体" w:hAnsi="宋体" w:eastAsia="宋体" w:cs="宋体"/>
                <w:color w:val="000000"/>
                <w:sz w:val="22"/>
                <w:szCs w:val="22"/>
              </w:rPr>
            </w:pPr>
          </w:p>
        </w:tc>
        <w:tc>
          <w:tcPr>
            <w:tcW w:w="1525" w:type="dxa"/>
            <w:shd w:val="clear" w:color="auto" w:fill="auto"/>
            <w:noWrap/>
            <w:vAlign w:val="bottom"/>
          </w:tcPr>
          <w:p w14:paraId="59BC4D4D">
            <w:pPr>
              <w:jc w:val="center"/>
              <w:rPr>
                <w:rFonts w:hint="eastAsia" w:ascii="宋体" w:hAnsi="宋体" w:eastAsia="宋体" w:cs="宋体"/>
                <w:color w:val="000000"/>
                <w:sz w:val="22"/>
                <w:szCs w:val="22"/>
              </w:rPr>
            </w:pPr>
          </w:p>
        </w:tc>
      </w:tr>
      <w:tr w14:paraId="5132A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80" w:type="dxa"/>
            <w:shd w:val="clear" w:color="auto" w:fill="auto"/>
            <w:vAlign w:val="center"/>
          </w:tcPr>
          <w:p w14:paraId="4A698C93">
            <w:pPr>
              <w:widowControl/>
              <w:jc w:val="center"/>
              <w:textAlignment w:val="center"/>
              <w:rPr>
                <w:rFonts w:hint="eastAsia" w:ascii="宋体" w:hAnsi="宋体" w:eastAsia="宋体" w:cs="宋体"/>
                <w:color w:val="000000"/>
                <w:sz w:val="22"/>
                <w:szCs w:val="22"/>
              </w:rPr>
            </w:pPr>
            <w:r>
              <w:rPr>
                <w:rFonts w:hint="default" w:ascii="Arial" w:hAnsi="Arial" w:eastAsia="宋体" w:cs="Arial"/>
                <w:color w:val="000000"/>
                <w:sz w:val="22"/>
                <w:szCs w:val="22"/>
              </w:rPr>
              <w:t>…</w:t>
            </w:r>
          </w:p>
        </w:tc>
        <w:tc>
          <w:tcPr>
            <w:tcW w:w="1695" w:type="dxa"/>
            <w:shd w:val="clear" w:color="auto" w:fill="auto"/>
            <w:vAlign w:val="center"/>
          </w:tcPr>
          <w:p w14:paraId="72DA1609">
            <w:pPr>
              <w:widowControl/>
              <w:jc w:val="center"/>
              <w:textAlignment w:val="center"/>
              <w:rPr>
                <w:rFonts w:hint="eastAsia" w:ascii="宋体" w:hAnsi="宋体" w:eastAsia="宋体" w:cs="宋体"/>
                <w:color w:val="000000"/>
                <w:sz w:val="22"/>
                <w:szCs w:val="22"/>
              </w:rPr>
            </w:pPr>
          </w:p>
        </w:tc>
        <w:tc>
          <w:tcPr>
            <w:tcW w:w="1725" w:type="dxa"/>
            <w:shd w:val="clear" w:color="auto" w:fill="auto"/>
            <w:vAlign w:val="center"/>
          </w:tcPr>
          <w:p w14:paraId="3EA49113">
            <w:pPr>
              <w:jc w:val="center"/>
              <w:rPr>
                <w:rFonts w:hint="eastAsia" w:ascii="宋体" w:hAnsi="宋体" w:eastAsia="宋体" w:cs="宋体"/>
                <w:color w:val="000000"/>
                <w:sz w:val="22"/>
                <w:szCs w:val="22"/>
              </w:rPr>
            </w:pPr>
          </w:p>
        </w:tc>
        <w:tc>
          <w:tcPr>
            <w:tcW w:w="1912" w:type="dxa"/>
            <w:shd w:val="clear" w:color="auto" w:fill="auto"/>
            <w:vAlign w:val="center"/>
          </w:tcPr>
          <w:p w14:paraId="72E15ED0">
            <w:pPr>
              <w:widowControl/>
              <w:jc w:val="center"/>
              <w:textAlignment w:val="center"/>
              <w:rPr>
                <w:rFonts w:hint="eastAsia" w:ascii="宋体" w:hAnsi="宋体" w:eastAsia="宋体" w:cs="宋体"/>
                <w:color w:val="000000"/>
                <w:sz w:val="22"/>
                <w:szCs w:val="22"/>
              </w:rPr>
            </w:pPr>
          </w:p>
        </w:tc>
        <w:tc>
          <w:tcPr>
            <w:tcW w:w="1513" w:type="dxa"/>
            <w:shd w:val="clear" w:color="auto" w:fill="auto"/>
            <w:noWrap/>
            <w:vAlign w:val="bottom"/>
          </w:tcPr>
          <w:p w14:paraId="0A7216D6">
            <w:pPr>
              <w:jc w:val="center"/>
              <w:rPr>
                <w:rFonts w:hint="eastAsia" w:ascii="宋体" w:hAnsi="宋体" w:eastAsia="宋体" w:cs="宋体"/>
                <w:color w:val="000000"/>
                <w:sz w:val="22"/>
                <w:szCs w:val="22"/>
              </w:rPr>
            </w:pPr>
          </w:p>
        </w:tc>
        <w:tc>
          <w:tcPr>
            <w:tcW w:w="1525" w:type="dxa"/>
            <w:shd w:val="clear" w:color="auto" w:fill="auto"/>
            <w:noWrap/>
            <w:vAlign w:val="bottom"/>
          </w:tcPr>
          <w:p w14:paraId="3FDDF373">
            <w:pPr>
              <w:jc w:val="center"/>
              <w:rPr>
                <w:rFonts w:hint="eastAsia" w:ascii="宋体" w:hAnsi="宋体" w:eastAsia="宋体" w:cs="宋体"/>
                <w:color w:val="000000"/>
                <w:sz w:val="22"/>
                <w:szCs w:val="22"/>
              </w:rPr>
            </w:pPr>
          </w:p>
        </w:tc>
      </w:tr>
      <w:tr w14:paraId="4C8D0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150" w:type="dxa"/>
            <w:gridSpan w:val="6"/>
            <w:shd w:val="clear" w:color="auto" w:fill="auto"/>
            <w:vAlign w:val="bottom"/>
          </w:tcPr>
          <w:p w14:paraId="02B62508">
            <w:pPr>
              <w:widowControl/>
              <w:jc w:val="center"/>
              <w:textAlignment w:val="bottom"/>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小计：大写：         小写（￥           ）</w:t>
            </w:r>
          </w:p>
        </w:tc>
      </w:tr>
      <w:tr w14:paraId="74D0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150" w:type="dxa"/>
            <w:gridSpan w:val="6"/>
            <w:shd w:val="clear" w:color="auto" w:fill="auto"/>
            <w:vAlign w:val="center"/>
          </w:tcPr>
          <w:p w14:paraId="5D0B4E7B">
            <w:pPr>
              <w:widowControl/>
              <w:jc w:val="center"/>
              <w:textAlignment w:val="center"/>
              <w:rPr>
                <w:rFonts w:hint="eastAsia" w:ascii="宋体" w:hAnsi="宋体" w:eastAsia="宋体" w:cs="宋体"/>
                <w:color w:val="000000"/>
                <w:sz w:val="22"/>
                <w:szCs w:val="22"/>
              </w:rPr>
            </w:pPr>
            <w:r>
              <w:rPr>
                <w:rFonts w:hint="eastAsia" w:ascii="宋体" w:hAnsi="宋体" w:eastAsia="宋体"/>
                <w:b/>
                <w:bCs/>
              </w:rPr>
              <w:t>三、</w:t>
            </w:r>
            <w:r>
              <w:rPr>
                <w:rFonts w:hint="eastAsia" w:ascii="宋体" w:hAnsi="宋体" w:eastAsia="宋体"/>
                <w:b/>
                <w:bCs/>
                <w:lang w:val="en-US" w:eastAsia="zh-CN"/>
              </w:rPr>
              <w:t>明秀校区</w:t>
            </w:r>
            <w:r>
              <w:rPr>
                <w:rFonts w:hint="eastAsia" w:ascii="宋体" w:hAnsi="宋体" w:eastAsia="宋体"/>
                <w:b/>
                <w:bCs/>
              </w:rPr>
              <w:t>智能电控管理系统</w:t>
            </w:r>
          </w:p>
        </w:tc>
      </w:tr>
      <w:tr w14:paraId="6458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80" w:type="dxa"/>
            <w:shd w:val="clear" w:color="auto" w:fill="auto"/>
            <w:vAlign w:val="center"/>
          </w:tcPr>
          <w:p w14:paraId="128DACCF">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序号</w:t>
            </w:r>
          </w:p>
        </w:tc>
        <w:tc>
          <w:tcPr>
            <w:tcW w:w="1695" w:type="dxa"/>
            <w:shd w:val="clear" w:color="auto" w:fill="auto"/>
            <w:vAlign w:val="center"/>
          </w:tcPr>
          <w:p w14:paraId="1A3B50F0">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系统模块名称</w:t>
            </w:r>
          </w:p>
        </w:tc>
        <w:tc>
          <w:tcPr>
            <w:tcW w:w="1725" w:type="dxa"/>
            <w:shd w:val="clear" w:color="auto" w:fill="auto"/>
            <w:vAlign w:val="center"/>
          </w:tcPr>
          <w:p w14:paraId="2F0DA64E">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功能参数</w:t>
            </w:r>
          </w:p>
        </w:tc>
        <w:tc>
          <w:tcPr>
            <w:tcW w:w="1912" w:type="dxa"/>
            <w:shd w:val="clear" w:color="auto" w:fill="auto"/>
            <w:vAlign w:val="center"/>
          </w:tcPr>
          <w:p w14:paraId="77AD8293">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数量</w:t>
            </w:r>
            <w:r>
              <w:rPr>
                <w:rFonts w:hint="eastAsia" w:ascii="宋体" w:hAnsi="宋体" w:eastAsia="宋体" w:cs="宋体"/>
                <w:color w:val="000000"/>
                <w:kern w:val="0"/>
                <w:sz w:val="22"/>
                <w:szCs w:val="22"/>
                <w:lang w:val="en-US" w:eastAsia="zh-CN" w:bidi="ar"/>
              </w:rPr>
              <w:t>及单位</w:t>
            </w:r>
          </w:p>
        </w:tc>
        <w:tc>
          <w:tcPr>
            <w:tcW w:w="1513" w:type="dxa"/>
            <w:shd w:val="clear" w:color="auto" w:fill="auto"/>
            <w:vAlign w:val="bottom"/>
          </w:tcPr>
          <w:p w14:paraId="59C7A9FE">
            <w:pPr>
              <w:widowControl/>
              <w:jc w:val="center"/>
              <w:textAlignment w:val="bottom"/>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单价</w:t>
            </w:r>
          </w:p>
          <w:p w14:paraId="500DDBE6">
            <w:pPr>
              <w:widowControl/>
              <w:jc w:val="center"/>
              <w:textAlignment w:val="bottom"/>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（元）</w:t>
            </w:r>
          </w:p>
        </w:tc>
        <w:tc>
          <w:tcPr>
            <w:tcW w:w="1525" w:type="dxa"/>
            <w:shd w:val="clear" w:color="auto" w:fill="auto"/>
            <w:vAlign w:val="bottom"/>
          </w:tcPr>
          <w:p w14:paraId="12943BDD">
            <w:pPr>
              <w:widowControl/>
              <w:jc w:val="center"/>
              <w:textAlignment w:val="bottom"/>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总价</w:t>
            </w:r>
          </w:p>
          <w:p w14:paraId="2A53A3D3">
            <w:pPr>
              <w:widowControl/>
              <w:jc w:val="center"/>
              <w:textAlignment w:val="bottom"/>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（元）</w:t>
            </w:r>
          </w:p>
        </w:tc>
      </w:tr>
      <w:tr w14:paraId="2F871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80" w:type="dxa"/>
            <w:shd w:val="clear" w:color="auto" w:fill="auto"/>
            <w:vAlign w:val="center"/>
          </w:tcPr>
          <w:p w14:paraId="24C2B63B">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1</w:t>
            </w:r>
          </w:p>
        </w:tc>
        <w:tc>
          <w:tcPr>
            <w:tcW w:w="1695" w:type="dxa"/>
            <w:shd w:val="clear" w:color="auto" w:fill="auto"/>
            <w:vAlign w:val="center"/>
          </w:tcPr>
          <w:p w14:paraId="79DED0AD">
            <w:pPr>
              <w:widowControl/>
              <w:jc w:val="center"/>
              <w:textAlignment w:val="center"/>
              <w:rPr>
                <w:rFonts w:hint="eastAsia" w:ascii="宋体" w:hAnsi="宋体" w:eastAsia="宋体" w:cs="宋体"/>
                <w:color w:val="000000"/>
                <w:sz w:val="22"/>
                <w:szCs w:val="22"/>
              </w:rPr>
            </w:pPr>
          </w:p>
        </w:tc>
        <w:tc>
          <w:tcPr>
            <w:tcW w:w="1725" w:type="dxa"/>
            <w:shd w:val="clear" w:color="auto" w:fill="auto"/>
            <w:vAlign w:val="center"/>
          </w:tcPr>
          <w:p w14:paraId="4C93BB03">
            <w:pPr>
              <w:jc w:val="center"/>
              <w:rPr>
                <w:rFonts w:hint="eastAsia" w:ascii="宋体" w:hAnsi="宋体" w:eastAsia="宋体" w:cs="宋体"/>
                <w:color w:val="000000"/>
                <w:sz w:val="22"/>
                <w:szCs w:val="22"/>
              </w:rPr>
            </w:pPr>
          </w:p>
        </w:tc>
        <w:tc>
          <w:tcPr>
            <w:tcW w:w="1912" w:type="dxa"/>
            <w:shd w:val="clear" w:color="auto" w:fill="auto"/>
            <w:vAlign w:val="center"/>
          </w:tcPr>
          <w:p w14:paraId="63E502F7">
            <w:pPr>
              <w:widowControl/>
              <w:jc w:val="center"/>
              <w:textAlignment w:val="center"/>
              <w:rPr>
                <w:rFonts w:hint="eastAsia" w:ascii="宋体" w:hAnsi="宋体" w:eastAsia="宋体" w:cs="宋体"/>
                <w:color w:val="000000"/>
                <w:sz w:val="22"/>
                <w:szCs w:val="22"/>
              </w:rPr>
            </w:pPr>
          </w:p>
        </w:tc>
        <w:tc>
          <w:tcPr>
            <w:tcW w:w="1513" w:type="dxa"/>
            <w:shd w:val="clear" w:color="auto" w:fill="auto"/>
            <w:noWrap/>
            <w:vAlign w:val="bottom"/>
          </w:tcPr>
          <w:p w14:paraId="6042A7F6">
            <w:pPr>
              <w:jc w:val="center"/>
              <w:rPr>
                <w:rFonts w:hint="eastAsia" w:ascii="宋体" w:hAnsi="宋体" w:eastAsia="宋体" w:cs="宋体"/>
                <w:color w:val="000000"/>
                <w:sz w:val="22"/>
                <w:szCs w:val="22"/>
              </w:rPr>
            </w:pPr>
          </w:p>
        </w:tc>
        <w:tc>
          <w:tcPr>
            <w:tcW w:w="1525" w:type="dxa"/>
            <w:shd w:val="clear" w:color="auto" w:fill="auto"/>
            <w:noWrap/>
            <w:vAlign w:val="bottom"/>
          </w:tcPr>
          <w:p w14:paraId="3CCE40A3">
            <w:pPr>
              <w:jc w:val="center"/>
              <w:rPr>
                <w:rFonts w:hint="eastAsia" w:ascii="宋体" w:hAnsi="宋体" w:eastAsia="宋体" w:cs="宋体"/>
                <w:color w:val="000000"/>
                <w:sz w:val="22"/>
                <w:szCs w:val="22"/>
              </w:rPr>
            </w:pPr>
          </w:p>
        </w:tc>
      </w:tr>
      <w:tr w14:paraId="1195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80" w:type="dxa"/>
            <w:shd w:val="clear" w:color="auto" w:fill="auto"/>
            <w:vAlign w:val="center"/>
          </w:tcPr>
          <w:p w14:paraId="1C3AA37C">
            <w:pPr>
              <w:widowControl/>
              <w:jc w:val="center"/>
              <w:textAlignment w:val="center"/>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2</w:t>
            </w:r>
          </w:p>
        </w:tc>
        <w:tc>
          <w:tcPr>
            <w:tcW w:w="1695" w:type="dxa"/>
            <w:shd w:val="clear" w:color="auto" w:fill="auto"/>
            <w:vAlign w:val="center"/>
          </w:tcPr>
          <w:p w14:paraId="2491B914">
            <w:pPr>
              <w:widowControl/>
              <w:jc w:val="center"/>
              <w:textAlignment w:val="center"/>
              <w:rPr>
                <w:rFonts w:hint="eastAsia" w:ascii="宋体" w:hAnsi="宋体" w:eastAsia="宋体" w:cs="宋体"/>
                <w:color w:val="000000"/>
                <w:sz w:val="22"/>
                <w:szCs w:val="22"/>
              </w:rPr>
            </w:pPr>
          </w:p>
        </w:tc>
        <w:tc>
          <w:tcPr>
            <w:tcW w:w="1725" w:type="dxa"/>
            <w:shd w:val="clear" w:color="auto" w:fill="auto"/>
            <w:vAlign w:val="center"/>
          </w:tcPr>
          <w:p w14:paraId="7D1CCC00">
            <w:pPr>
              <w:jc w:val="center"/>
              <w:rPr>
                <w:rFonts w:hint="eastAsia" w:ascii="宋体" w:hAnsi="宋体" w:eastAsia="宋体" w:cs="宋体"/>
                <w:color w:val="000000"/>
                <w:sz w:val="22"/>
                <w:szCs w:val="22"/>
              </w:rPr>
            </w:pPr>
          </w:p>
        </w:tc>
        <w:tc>
          <w:tcPr>
            <w:tcW w:w="1912" w:type="dxa"/>
            <w:shd w:val="clear" w:color="auto" w:fill="auto"/>
            <w:vAlign w:val="center"/>
          </w:tcPr>
          <w:p w14:paraId="2F314DEE">
            <w:pPr>
              <w:jc w:val="center"/>
              <w:rPr>
                <w:rFonts w:hint="eastAsia" w:ascii="宋体" w:hAnsi="宋体" w:eastAsia="宋体" w:cs="宋体"/>
                <w:color w:val="000000"/>
                <w:sz w:val="22"/>
                <w:szCs w:val="22"/>
              </w:rPr>
            </w:pPr>
          </w:p>
        </w:tc>
        <w:tc>
          <w:tcPr>
            <w:tcW w:w="1513" w:type="dxa"/>
            <w:shd w:val="clear" w:color="auto" w:fill="auto"/>
            <w:noWrap/>
            <w:vAlign w:val="bottom"/>
          </w:tcPr>
          <w:p w14:paraId="009F643E">
            <w:pPr>
              <w:jc w:val="center"/>
              <w:rPr>
                <w:rFonts w:hint="eastAsia" w:ascii="宋体" w:hAnsi="宋体" w:eastAsia="宋体" w:cs="宋体"/>
                <w:color w:val="000000"/>
                <w:sz w:val="22"/>
                <w:szCs w:val="22"/>
              </w:rPr>
            </w:pPr>
          </w:p>
        </w:tc>
        <w:tc>
          <w:tcPr>
            <w:tcW w:w="1525" w:type="dxa"/>
            <w:shd w:val="clear" w:color="auto" w:fill="auto"/>
            <w:noWrap/>
            <w:vAlign w:val="bottom"/>
          </w:tcPr>
          <w:p w14:paraId="36E14230">
            <w:pPr>
              <w:jc w:val="center"/>
              <w:rPr>
                <w:rFonts w:hint="eastAsia" w:ascii="宋体" w:hAnsi="宋体" w:eastAsia="宋体" w:cs="宋体"/>
                <w:color w:val="000000"/>
                <w:sz w:val="22"/>
                <w:szCs w:val="22"/>
              </w:rPr>
            </w:pPr>
          </w:p>
        </w:tc>
      </w:tr>
      <w:tr w14:paraId="02406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80" w:type="dxa"/>
            <w:shd w:val="clear" w:color="auto" w:fill="auto"/>
            <w:vAlign w:val="center"/>
          </w:tcPr>
          <w:p w14:paraId="6D8B06CF">
            <w:pPr>
              <w:widowControl/>
              <w:jc w:val="center"/>
              <w:textAlignment w:val="center"/>
              <w:rPr>
                <w:rFonts w:hint="eastAsia" w:ascii="宋体" w:hAnsi="宋体" w:eastAsia="宋体" w:cs="宋体"/>
                <w:color w:val="000000"/>
                <w:sz w:val="22"/>
                <w:szCs w:val="22"/>
              </w:rPr>
            </w:pPr>
            <w:r>
              <w:rPr>
                <w:rFonts w:hint="default" w:ascii="Arial" w:hAnsi="Arial" w:eastAsia="宋体" w:cs="Arial"/>
                <w:color w:val="000000"/>
                <w:sz w:val="22"/>
                <w:szCs w:val="22"/>
              </w:rPr>
              <w:t>…</w:t>
            </w:r>
          </w:p>
        </w:tc>
        <w:tc>
          <w:tcPr>
            <w:tcW w:w="1695" w:type="dxa"/>
            <w:shd w:val="clear" w:color="auto" w:fill="auto"/>
            <w:vAlign w:val="center"/>
          </w:tcPr>
          <w:p w14:paraId="49AEF116">
            <w:pPr>
              <w:widowControl/>
              <w:jc w:val="center"/>
              <w:textAlignment w:val="center"/>
              <w:rPr>
                <w:rFonts w:hint="eastAsia" w:ascii="宋体" w:hAnsi="宋体" w:eastAsia="宋体" w:cs="宋体"/>
                <w:color w:val="000000"/>
                <w:sz w:val="22"/>
                <w:szCs w:val="22"/>
              </w:rPr>
            </w:pPr>
          </w:p>
        </w:tc>
        <w:tc>
          <w:tcPr>
            <w:tcW w:w="1725" w:type="dxa"/>
            <w:shd w:val="clear" w:color="auto" w:fill="auto"/>
            <w:vAlign w:val="center"/>
          </w:tcPr>
          <w:p w14:paraId="649CDC4D">
            <w:pPr>
              <w:jc w:val="center"/>
              <w:rPr>
                <w:rFonts w:hint="eastAsia" w:ascii="宋体" w:hAnsi="宋体" w:eastAsia="宋体" w:cs="宋体"/>
                <w:color w:val="000000"/>
                <w:sz w:val="22"/>
                <w:szCs w:val="22"/>
              </w:rPr>
            </w:pPr>
          </w:p>
        </w:tc>
        <w:tc>
          <w:tcPr>
            <w:tcW w:w="1912" w:type="dxa"/>
            <w:shd w:val="clear" w:color="auto" w:fill="auto"/>
            <w:vAlign w:val="center"/>
          </w:tcPr>
          <w:p w14:paraId="64818714">
            <w:pPr>
              <w:jc w:val="center"/>
              <w:rPr>
                <w:rFonts w:hint="eastAsia" w:ascii="宋体" w:hAnsi="宋体" w:eastAsia="宋体" w:cs="宋体"/>
                <w:color w:val="000000"/>
                <w:sz w:val="22"/>
                <w:szCs w:val="22"/>
              </w:rPr>
            </w:pPr>
          </w:p>
        </w:tc>
        <w:tc>
          <w:tcPr>
            <w:tcW w:w="1513" w:type="dxa"/>
            <w:shd w:val="clear" w:color="auto" w:fill="auto"/>
            <w:noWrap/>
            <w:vAlign w:val="bottom"/>
          </w:tcPr>
          <w:p w14:paraId="02044BFE">
            <w:pPr>
              <w:jc w:val="center"/>
              <w:rPr>
                <w:rFonts w:hint="eastAsia" w:ascii="宋体" w:hAnsi="宋体" w:eastAsia="宋体" w:cs="宋体"/>
                <w:color w:val="000000"/>
                <w:sz w:val="22"/>
                <w:szCs w:val="22"/>
              </w:rPr>
            </w:pPr>
          </w:p>
        </w:tc>
        <w:tc>
          <w:tcPr>
            <w:tcW w:w="1525" w:type="dxa"/>
            <w:shd w:val="clear" w:color="auto" w:fill="auto"/>
            <w:noWrap/>
            <w:vAlign w:val="bottom"/>
          </w:tcPr>
          <w:p w14:paraId="368C90FD">
            <w:pPr>
              <w:jc w:val="center"/>
              <w:rPr>
                <w:rFonts w:hint="eastAsia" w:ascii="宋体" w:hAnsi="宋体" w:eastAsia="宋体" w:cs="宋体"/>
                <w:color w:val="000000"/>
                <w:sz w:val="22"/>
                <w:szCs w:val="22"/>
              </w:rPr>
            </w:pPr>
          </w:p>
        </w:tc>
      </w:tr>
      <w:tr w14:paraId="2EFF4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150" w:type="dxa"/>
            <w:gridSpan w:val="6"/>
            <w:shd w:val="clear" w:color="auto" w:fill="auto"/>
            <w:vAlign w:val="bottom"/>
          </w:tcPr>
          <w:p w14:paraId="24208155">
            <w:pPr>
              <w:widowControl/>
              <w:jc w:val="center"/>
              <w:textAlignment w:val="bottom"/>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小计：大写：         小写（￥           ）</w:t>
            </w:r>
          </w:p>
        </w:tc>
      </w:tr>
      <w:tr w14:paraId="7564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150" w:type="dxa"/>
            <w:gridSpan w:val="6"/>
            <w:shd w:val="clear" w:color="auto" w:fill="auto"/>
            <w:vAlign w:val="bottom"/>
          </w:tcPr>
          <w:p w14:paraId="1F807C1F">
            <w:pPr>
              <w:widowControl/>
              <w:jc w:val="center"/>
              <w:textAlignment w:val="bottom"/>
              <w:rPr>
                <w:rFonts w:hint="eastAsia" w:ascii="宋体" w:hAnsi="宋体" w:eastAsia="宋体" w:cs="宋体"/>
                <w:color w:val="000000"/>
                <w:sz w:val="22"/>
                <w:szCs w:val="22"/>
              </w:rPr>
            </w:pPr>
            <w:r>
              <w:rPr>
                <w:rFonts w:hint="eastAsia" w:ascii="宋体" w:hAnsi="宋体" w:eastAsia="宋体" w:cs="宋体"/>
                <w:color w:val="000000"/>
                <w:kern w:val="0"/>
                <w:sz w:val="22"/>
                <w:szCs w:val="22"/>
                <w:lang w:bidi="ar"/>
              </w:rPr>
              <w:t>合计总价：大写：         小写（￥           ）</w:t>
            </w:r>
          </w:p>
        </w:tc>
      </w:tr>
    </w:tbl>
    <w:p w14:paraId="4EA151DD">
      <w:pPr>
        <w:pStyle w:val="22"/>
        <w:spacing w:line="600" w:lineRule="exact"/>
        <w:ind w:left="6240" w:hanging="6240" w:hangingChars="2600"/>
        <w:jc w:val="both"/>
        <w:rPr>
          <w:rFonts w:hint="eastAsia" w:ascii="宋体" w:hAnsi="宋体" w:eastAsia="宋体" w:cs="宋体"/>
          <w:bCs w:val="0"/>
          <w:color w:val="auto"/>
          <w:kern w:val="2"/>
          <w:sz w:val="24"/>
          <w:szCs w:val="24"/>
        </w:rPr>
      </w:pPr>
      <w:r>
        <w:rPr>
          <w:rFonts w:hint="eastAsia" w:ascii="宋体" w:hAnsi="宋体" w:eastAsia="宋体" w:cs="宋体"/>
          <w:bCs w:val="0"/>
          <w:color w:val="auto"/>
          <w:kern w:val="2"/>
          <w:sz w:val="24"/>
          <w:szCs w:val="24"/>
        </w:rPr>
        <w:t>公司名称（盖章）：</w:t>
      </w:r>
    </w:p>
    <w:p w14:paraId="56AC7B0D">
      <w:pPr>
        <w:pStyle w:val="22"/>
        <w:spacing w:line="600" w:lineRule="exact"/>
        <w:jc w:val="both"/>
        <w:rPr>
          <w:rFonts w:hint="eastAsia" w:ascii="宋体" w:hAnsi="宋体" w:eastAsia="宋体" w:cs="宋体"/>
          <w:bCs w:val="0"/>
          <w:color w:val="auto"/>
          <w:kern w:val="2"/>
          <w:sz w:val="24"/>
          <w:szCs w:val="24"/>
          <w:u w:val="single"/>
        </w:rPr>
      </w:pPr>
      <w:r>
        <w:rPr>
          <w:rFonts w:hint="eastAsia" w:ascii="宋体" w:hAnsi="宋体" w:eastAsia="宋体" w:cs="宋体"/>
          <w:bCs w:val="0"/>
          <w:color w:val="auto"/>
          <w:kern w:val="2"/>
          <w:sz w:val="24"/>
          <w:szCs w:val="24"/>
        </w:rPr>
        <w:t>联系人姓名：</w:t>
      </w:r>
      <w:r>
        <w:rPr>
          <w:rFonts w:hint="eastAsia" w:ascii="宋体" w:hAnsi="宋体" w:eastAsia="宋体" w:cs="宋体"/>
          <w:bCs w:val="0"/>
          <w:color w:val="auto"/>
          <w:kern w:val="2"/>
          <w:sz w:val="24"/>
          <w:szCs w:val="24"/>
          <w:lang w:val="en-US" w:eastAsia="zh-CN"/>
        </w:rPr>
        <w:t xml:space="preserve">               </w:t>
      </w:r>
      <w:r>
        <w:rPr>
          <w:rFonts w:hint="eastAsia" w:ascii="宋体" w:hAnsi="宋体" w:eastAsia="宋体" w:cs="宋体"/>
          <w:bCs w:val="0"/>
          <w:color w:val="auto"/>
          <w:kern w:val="2"/>
          <w:sz w:val="24"/>
          <w:szCs w:val="24"/>
        </w:rPr>
        <w:t>联系人电话：</w:t>
      </w:r>
      <w:r>
        <w:rPr>
          <w:rFonts w:hint="eastAsia" w:ascii="宋体" w:hAnsi="宋体" w:eastAsia="宋体" w:cs="宋体"/>
          <w:bCs w:val="0"/>
          <w:color w:val="auto"/>
          <w:kern w:val="2"/>
          <w:sz w:val="24"/>
          <w:szCs w:val="24"/>
          <w:lang w:val="en-US" w:eastAsia="zh-CN"/>
        </w:rPr>
        <w:t xml:space="preserve">           </w:t>
      </w:r>
      <w:r>
        <w:rPr>
          <w:rFonts w:hint="eastAsia" w:ascii="宋体" w:hAnsi="宋体" w:eastAsia="宋体" w:cs="宋体"/>
          <w:bCs w:val="0"/>
          <w:color w:val="auto"/>
          <w:kern w:val="2"/>
          <w:sz w:val="24"/>
          <w:szCs w:val="24"/>
        </w:rPr>
        <w:t>联系人邮箱：</w:t>
      </w:r>
    </w:p>
    <w:p w14:paraId="41E013AA">
      <w:pPr>
        <w:spacing w:line="600" w:lineRule="exact"/>
        <w:rPr>
          <w:rFonts w:hint="eastAsia" w:ascii="宋体" w:hAnsi="宋体" w:eastAsia="宋体" w:cs="宋体"/>
          <w:kern w:val="0"/>
          <w:sz w:val="24"/>
          <w:shd w:val="clear" w:color="auto" w:fill="FFFFFF"/>
        </w:rPr>
      </w:pPr>
      <w:r>
        <w:rPr>
          <w:rFonts w:hint="eastAsia" w:ascii="宋体" w:hAnsi="宋体" w:eastAsia="宋体" w:cs="宋体"/>
          <w:sz w:val="24"/>
        </w:rPr>
        <w:t xml:space="preserve">日期： </w:t>
      </w:r>
    </w:p>
    <w:p w14:paraId="7E2D58D9">
      <w:pPr>
        <w:spacing w:line="520" w:lineRule="exact"/>
        <w:rPr>
          <w:rFonts w:hint="eastAsia" w:ascii="宋体" w:hAnsi="宋体" w:eastAsia="宋体" w:cs="宋体"/>
          <w:b/>
          <w:bCs/>
          <w:kern w:val="0"/>
          <w:sz w:val="24"/>
          <w:shd w:val="clear" w:color="auto" w:fill="FFFFFF"/>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8291A4C">
      <w:pPr>
        <w:spacing w:line="520" w:lineRule="exact"/>
        <w:rPr>
          <w:rFonts w:hint="eastAsia" w:ascii="宋体" w:hAnsi="宋体" w:eastAsia="宋体" w:cs="宋体"/>
          <w:b/>
          <w:bCs/>
          <w:kern w:val="0"/>
          <w:sz w:val="24"/>
          <w:shd w:val="clear" w:color="auto" w:fill="FFFFFF"/>
        </w:rPr>
      </w:pPr>
      <w:r>
        <w:rPr>
          <w:rFonts w:hint="eastAsia" w:ascii="宋体" w:hAnsi="宋体" w:eastAsia="宋体" w:cs="宋体"/>
          <w:b/>
          <w:bCs/>
          <w:kern w:val="0"/>
          <w:sz w:val="24"/>
          <w:shd w:val="clear" w:color="auto" w:fill="FFFFFF"/>
        </w:rPr>
        <w:t>附件3：功能参数偏离表</w:t>
      </w:r>
    </w:p>
    <w:tbl>
      <w:tblPr>
        <w:tblStyle w:val="13"/>
        <w:tblW w:w="466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54"/>
        <w:gridCol w:w="1363"/>
        <w:gridCol w:w="2347"/>
        <w:gridCol w:w="2160"/>
        <w:gridCol w:w="1208"/>
      </w:tblGrid>
      <w:tr w14:paraId="4AEE66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423" w:type="pct"/>
            <w:tcBorders>
              <w:top w:val="single" w:color="auto" w:sz="4" w:space="0"/>
              <w:left w:val="single" w:color="auto" w:sz="4" w:space="0"/>
              <w:bottom w:val="single" w:color="auto" w:sz="4" w:space="0"/>
              <w:right w:val="single" w:color="auto" w:sz="4" w:space="0"/>
            </w:tcBorders>
            <w:vAlign w:val="center"/>
          </w:tcPr>
          <w:p w14:paraId="5480664B">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项号</w:t>
            </w:r>
          </w:p>
        </w:tc>
        <w:tc>
          <w:tcPr>
            <w:tcW w:w="881" w:type="pct"/>
            <w:tcBorders>
              <w:top w:val="single" w:color="auto" w:sz="4" w:space="0"/>
              <w:left w:val="single" w:color="auto" w:sz="4" w:space="0"/>
              <w:bottom w:val="single" w:color="auto" w:sz="4" w:space="0"/>
              <w:right w:val="single" w:color="auto" w:sz="4" w:space="0"/>
            </w:tcBorders>
            <w:vAlign w:val="center"/>
          </w:tcPr>
          <w:p w14:paraId="49B9A2D2">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服务名称</w:t>
            </w:r>
          </w:p>
        </w:tc>
        <w:tc>
          <w:tcPr>
            <w:tcW w:w="1517" w:type="pct"/>
            <w:tcBorders>
              <w:top w:val="single" w:color="auto" w:sz="4" w:space="0"/>
              <w:left w:val="single" w:color="auto" w:sz="4" w:space="0"/>
              <w:bottom w:val="single" w:color="auto" w:sz="4" w:space="0"/>
              <w:right w:val="single" w:color="auto" w:sz="4" w:space="0"/>
            </w:tcBorders>
            <w:vAlign w:val="center"/>
          </w:tcPr>
          <w:p w14:paraId="5EFF32A6">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技术需求</w:t>
            </w:r>
          </w:p>
        </w:tc>
        <w:tc>
          <w:tcPr>
            <w:tcW w:w="1396" w:type="pct"/>
            <w:tcBorders>
              <w:top w:val="single" w:color="auto" w:sz="4" w:space="0"/>
              <w:left w:val="single" w:color="auto" w:sz="4" w:space="0"/>
              <w:bottom w:val="single" w:color="auto" w:sz="4" w:space="0"/>
              <w:right w:val="single" w:color="auto" w:sz="4" w:space="0"/>
            </w:tcBorders>
            <w:vAlign w:val="center"/>
          </w:tcPr>
          <w:p w14:paraId="3B3E11E6">
            <w:pPr>
              <w:widowControl/>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实际响应情况</w:t>
            </w:r>
          </w:p>
        </w:tc>
        <w:tc>
          <w:tcPr>
            <w:tcW w:w="781" w:type="pct"/>
            <w:tcBorders>
              <w:top w:val="single" w:color="auto" w:sz="4" w:space="0"/>
              <w:left w:val="single" w:color="auto" w:sz="4" w:space="0"/>
              <w:bottom w:val="single" w:color="auto" w:sz="4" w:space="0"/>
              <w:right w:val="single" w:color="auto" w:sz="4" w:space="0"/>
            </w:tcBorders>
            <w:vAlign w:val="center"/>
          </w:tcPr>
          <w:p w14:paraId="68F5C60B">
            <w:pPr>
              <w:widowControl/>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偏离说明</w:t>
            </w:r>
          </w:p>
        </w:tc>
      </w:tr>
      <w:tr w14:paraId="4E2EB2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423" w:type="pct"/>
            <w:tcBorders>
              <w:top w:val="single" w:color="auto" w:sz="4" w:space="0"/>
              <w:left w:val="single" w:color="auto" w:sz="4" w:space="0"/>
              <w:bottom w:val="single" w:color="auto" w:sz="4" w:space="0"/>
              <w:right w:val="single" w:color="auto" w:sz="4" w:space="0"/>
            </w:tcBorders>
            <w:vAlign w:val="center"/>
          </w:tcPr>
          <w:p w14:paraId="0E500F75">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1</w:t>
            </w:r>
          </w:p>
        </w:tc>
        <w:tc>
          <w:tcPr>
            <w:tcW w:w="881" w:type="pct"/>
            <w:tcBorders>
              <w:top w:val="single" w:color="auto" w:sz="4" w:space="0"/>
              <w:left w:val="single" w:color="auto" w:sz="4" w:space="0"/>
              <w:bottom w:val="single" w:color="auto" w:sz="4" w:space="0"/>
              <w:right w:val="single" w:color="auto" w:sz="4" w:space="0"/>
            </w:tcBorders>
            <w:vAlign w:val="center"/>
          </w:tcPr>
          <w:p w14:paraId="26581C9F">
            <w:pPr>
              <w:adjustRightInd w:val="0"/>
              <w:snapToGrid w:val="0"/>
              <w:spacing w:line="340" w:lineRule="exact"/>
              <w:jc w:val="center"/>
              <w:rPr>
                <w:rFonts w:hint="eastAsia" w:ascii="宋体" w:hAnsi="宋体" w:eastAsia="宋体" w:cs="宋体"/>
                <w:szCs w:val="21"/>
              </w:rPr>
            </w:pPr>
          </w:p>
        </w:tc>
        <w:tc>
          <w:tcPr>
            <w:tcW w:w="1517" w:type="pct"/>
            <w:tcBorders>
              <w:top w:val="single" w:color="auto" w:sz="4" w:space="0"/>
              <w:left w:val="single" w:color="auto" w:sz="4" w:space="0"/>
              <w:bottom w:val="single" w:color="auto" w:sz="4" w:space="0"/>
              <w:right w:val="single" w:color="auto" w:sz="4" w:space="0"/>
            </w:tcBorders>
            <w:vAlign w:val="center"/>
          </w:tcPr>
          <w:p w14:paraId="1D1F9075">
            <w:pPr>
              <w:adjustRightInd w:val="0"/>
              <w:snapToGrid w:val="0"/>
              <w:spacing w:line="340" w:lineRule="exact"/>
              <w:jc w:val="center"/>
              <w:rPr>
                <w:rFonts w:hint="eastAsia" w:ascii="宋体" w:hAnsi="宋体" w:eastAsia="宋体" w:cs="宋体"/>
                <w:szCs w:val="21"/>
              </w:rPr>
            </w:pPr>
          </w:p>
        </w:tc>
        <w:tc>
          <w:tcPr>
            <w:tcW w:w="1396" w:type="pct"/>
            <w:tcBorders>
              <w:top w:val="single" w:color="auto" w:sz="4" w:space="0"/>
              <w:left w:val="single" w:color="auto" w:sz="4" w:space="0"/>
              <w:bottom w:val="single" w:color="auto" w:sz="4" w:space="0"/>
              <w:right w:val="single" w:color="auto" w:sz="4" w:space="0"/>
            </w:tcBorders>
            <w:vAlign w:val="center"/>
          </w:tcPr>
          <w:p w14:paraId="7CEA7266">
            <w:pPr>
              <w:widowControl/>
              <w:adjustRightInd w:val="0"/>
              <w:snapToGrid w:val="0"/>
              <w:spacing w:line="340" w:lineRule="exact"/>
              <w:jc w:val="center"/>
              <w:rPr>
                <w:rFonts w:hint="eastAsia" w:ascii="宋体" w:hAnsi="宋体" w:eastAsia="宋体" w:cs="宋体"/>
                <w:szCs w:val="21"/>
              </w:rPr>
            </w:pPr>
          </w:p>
        </w:tc>
        <w:tc>
          <w:tcPr>
            <w:tcW w:w="781" w:type="pct"/>
            <w:tcBorders>
              <w:top w:val="single" w:color="auto" w:sz="4" w:space="0"/>
              <w:left w:val="single" w:color="auto" w:sz="4" w:space="0"/>
              <w:bottom w:val="single" w:color="auto" w:sz="4" w:space="0"/>
              <w:right w:val="single" w:color="auto" w:sz="4" w:space="0"/>
            </w:tcBorders>
            <w:vAlign w:val="center"/>
          </w:tcPr>
          <w:p w14:paraId="2AEE3C74">
            <w:pPr>
              <w:widowControl/>
              <w:adjustRightInd w:val="0"/>
              <w:snapToGrid w:val="0"/>
              <w:spacing w:line="340" w:lineRule="exact"/>
              <w:jc w:val="center"/>
              <w:rPr>
                <w:rFonts w:hint="eastAsia" w:ascii="宋体" w:hAnsi="宋体" w:eastAsia="宋体" w:cs="宋体"/>
                <w:szCs w:val="21"/>
              </w:rPr>
            </w:pPr>
          </w:p>
        </w:tc>
      </w:tr>
      <w:tr w14:paraId="275811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423" w:type="pct"/>
            <w:tcBorders>
              <w:top w:val="single" w:color="auto" w:sz="4" w:space="0"/>
              <w:left w:val="single" w:color="auto" w:sz="4" w:space="0"/>
              <w:bottom w:val="single" w:color="auto" w:sz="4" w:space="0"/>
              <w:right w:val="single" w:color="auto" w:sz="4" w:space="0"/>
            </w:tcBorders>
            <w:vAlign w:val="center"/>
          </w:tcPr>
          <w:p w14:paraId="7FF795BB">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2</w:t>
            </w:r>
          </w:p>
        </w:tc>
        <w:tc>
          <w:tcPr>
            <w:tcW w:w="881" w:type="pct"/>
            <w:tcBorders>
              <w:top w:val="single" w:color="auto" w:sz="4" w:space="0"/>
              <w:left w:val="single" w:color="auto" w:sz="4" w:space="0"/>
              <w:bottom w:val="single" w:color="auto" w:sz="4" w:space="0"/>
              <w:right w:val="single" w:color="auto" w:sz="4" w:space="0"/>
            </w:tcBorders>
            <w:vAlign w:val="center"/>
          </w:tcPr>
          <w:p w14:paraId="01BABB7F">
            <w:pPr>
              <w:adjustRightInd w:val="0"/>
              <w:snapToGrid w:val="0"/>
              <w:spacing w:line="340" w:lineRule="exact"/>
              <w:jc w:val="center"/>
              <w:rPr>
                <w:rFonts w:hint="eastAsia" w:ascii="宋体" w:hAnsi="宋体" w:eastAsia="宋体" w:cs="宋体"/>
                <w:szCs w:val="21"/>
              </w:rPr>
            </w:pPr>
          </w:p>
        </w:tc>
        <w:tc>
          <w:tcPr>
            <w:tcW w:w="1517" w:type="pct"/>
            <w:tcBorders>
              <w:top w:val="single" w:color="auto" w:sz="4" w:space="0"/>
              <w:left w:val="single" w:color="auto" w:sz="4" w:space="0"/>
              <w:bottom w:val="single" w:color="auto" w:sz="4" w:space="0"/>
              <w:right w:val="single" w:color="auto" w:sz="4" w:space="0"/>
            </w:tcBorders>
            <w:vAlign w:val="center"/>
          </w:tcPr>
          <w:p w14:paraId="6AE02FF1">
            <w:pPr>
              <w:adjustRightInd w:val="0"/>
              <w:snapToGrid w:val="0"/>
              <w:spacing w:line="340" w:lineRule="exact"/>
              <w:jc w:val="center"/>
              <w:rPr>
                <w:rFonts w:hint="eastAsia" w:ascii="宋体" w:hAnsi="宋体" w:eastAsia="宋体" w:cs="宋体"/>
                <w:szCs w:val="21"/>
              </w:rPr>
            </w:pPr>
          </w:p>
        </w:tc>
        <w:tc>
          <w:tcPr>
            <w:tcW w:w="1396" w:type="pct"/>
            <w:tcBorders>
              <w:top w:val="single" w:color="auto" w:sz="4" w:space="0"/>
              <w:left w:val="single" w:color="auto" w:sz="4" w:space="0"/>
              <w:bottom w:val="single" w:color="auto" w:sz="4" w:space="0"/>
              <w:right w:val="single" w:color="auto" w:sz="4" w:space="0"/>
            </w:tcBorders>
            <w:vAlign w:val="center"/>
          </w:tcPr>
          <w:p w14:paraId="46C2A1A5">
            <w:pPr>
              <w:widowControl/>
              <w:adjustRightInd w:val="0"/>
              <w:snapToGrid w:val="0"/>
              <w:spacing w:line="340" w:lineRule="exact"/>
              <w:jc w:val="center"/>
              <w:rPr>
                <w:rFonts w:hint="eastAsia" w:ascii="宋体" w:hAnsi="宋体" w:eastAsia="宋体" w:cs="宋体"/>
                <w:szCs w:val="21"/>
              </w:rPr>
            </w:pPr>
          </w:p>
        </w:tc>
        <w:tc>
          <w:tcPr>
            <w:tcW w:w="781" w:type="pct"/>
            <w:tcBorders>
              <w:top w:val="single" w:color="auto" w:sz="4" w:space="0"/>
              <w:left w:val="single" w:color="auto" w:sz="4" w:space="0"/>
              <w:bottom w:val="single" w:color="auto" w:sz="4" w:space="0"/>
              <w:right w:val="single" w:color="auto" w:sz="4" w:space="0"/>
            </w:tcBorders>
            <w:vAlign w:val="center"/>
          </w:tcPr>
          <w:p w14:paraId="765442F1">
            <w:pPr>
              <w:widowControl/>
              <w:adjustRightInd w:val="0"/>
              <w:snapToGrid w:val="0"/>
              <w:spacing w:line="340" w:lineRule="exact"/>
              <w:jc w:val="center"/>
              <w:rPr>
                <w:rFonts w:hint="eastAsia" w:ascii="宋体" w:hAnsi="宋体" w:eastAsia="宋体" w:cs="宋体"/>
                <w:szCs w:val="21"/>
              </w:rPr>
            </w:pPr>
          </w:p>
        </w:tc>
      </w:tr>
      <w:tr w14:paraId="5DAF76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423" w:type="pct"/>
            <w:tcBorders>
              <w:top w:val="single" w:color="auto" w:sz="4" w:space="0"/>
              <w:left w:val="single" w:color="auto" w:sz="4" w:space="0"/>
              <w:bottom w:val="single" w:color="auto" w:sz="4" w:space="0"/>
              <w:right w:val="single" w:color="auto" w:sz="4" w:space="0"/>
            </w:tcBorders>
            <w:vAlign w:val="center"/>
          </w:tcPr>
          <w:p w14:paraId="409B1820">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3</w:t>
            </w:r>
          </w:p>
        </w:tc>
        <w:tc>
          <w:tcPr>
            <w:tcW w:w="881" w:type="pct"/>
            <w:tcBorders>
              <w:top w:val="single" w:color="auto" w:sz="4" w:space="0"/>
              <w:left w:val="single" w:color="auto" w:sz="4" w:space="0"/>
              <w:bottom w:val="single" w:color="auto" w:sz="4" w:space="0"/>
              <w:right w:val="single" w:color="auto" w:sz="4" w:space="0"/>
            </w:tcBorders>
            <w:vAlign w:val="center"/>
          </w:tcPr>
          <w:p w14:paraId="30C6DEC8">
            <w:pPr>
              <w:adjustRightInd w:val="0"/>
              <w:snapToGrid w:val="0"/>
              <w:spacing w:line="340" w:lineRule="exact"/>
              <w:jc w:val="center"/>
              <w:rPr>
                <w:rFonts w:hint="eastAsia" w:ascii="宋体" w:hAnsi="宋体" w:eastAsia="宋体" w:cs="宋体"/>
                <w:szCs w:val="21"/>
              </w:rPr>
            </w:pPr>
          </w:p>
        </w:tc>
        <w:tc>
          <w:tcPr>
            <w:tcW w:w="1517" w:type="pct"/>
            <w:tcBorders>
              <w:top w:val="single" w:color="auto" w:sz="4" w:space="0"/>
              <w:left w:val="single" w:color="auto" w:sz="4" w:space="0"/>
              <w:bottom w:val="single" w:color="auto" w:sz="4" w:space="0"/>
              <w:right w:val="single" w:color="auto" w:sz="4" w:space="0"/>
            </w:tcBorders>
            <w:vAlign w:val="center"/>
          </w:tcPr>
          <w:p w14:paraId="2ECD82A8">
            <w:pPr>
              <w:adjustRightInd w:val="0"/>
              <w:snapToGrid w:val="0"/>
              <w:spacing w:line="340" w:lineRule="exact"/>
              <w:jc w:val="center"/>
              <w:rPr>
                <w:rFonts w:hint="eastAsia" w:ascii="宋体" w:hAnsi="宋体" w:eastAsia="宋体" w:cs="宋体"/>
                <w:szCs w:val="21"/>
              </w:rPr>
            </w:pPr>
          </w:p>
        </w:tc>
        <w:tc>
          <w:tcPr>
            <w:tcW w:w="1396" w:type="pct"/>
            <w:tcBorders>
              <w:top w:val="single" w:color="auto" w:sz="4" w:space="0"/>
              <w:left w:val="single" w:color="auto" w:sz="4" w:space="0"/>
              <w:bottom w:val="single" w:color="auto" w:sz="4" w:space="0"/>
              <w:right w:val="single" w:color="auto" w:sz="4" w:space="0"/>
            </w:tcBorders>
            <w:vAlign w:val="center"/>
          </w:tcPr>
          <w:p w14:paraId="4BB3DD04">
            <w:pPr>
              <w:widowControl/>
              <w:adjustRightInd w:val="0"/>
              <w:snapToGrid w:val="0"/>
              <w:spacing w:line="340" w:lineRule="exact"/>
              <w:jc w:val="center"/>
              <w:rPr>
                <w:rFonts w:hint="eastAsia" w:ascii="宋体" w:hAnsi="宋体" w:eastAsia="宋体" w:cs="宋体"/>
                <w:szCs w:val="21"/>
              </w:rPr>
            </w:pPr>
          </w:p>
        </w:tc>
        <w:tc>
          <w:tcPr>
            <w:tcW w:w="781" w:type="pct"/>
            <w:tcBorders>
              <w:top w:val="single" w:color="auto" w:sz="4" w:space="0"/>
              <w:left w:val="single" w:color="auto" w:sz="4" w:space="0"/>
              <w:bottom w:val="single" w:color="auto" w:sz="4" w:space="0"/>
              <w:right w:val="single" w:color="auto" w:sz="4" w:space="0"/>
            </w:tcBorders>
            <w:vAlign w:val="center"/>
          </w:tcPr>
          <w:p w14:paraId="7041E808">
            <w:pPr>
              <w:widowControl/>
              <w:adjustRightInd w:val="0"/>
              <w:snapToGrid w:val="0"/>
              <w:spacing w:line="340" w:lineRule="exact"/>
              <w:jc w:val="center"/>
              <w:rPr>
                <w:rFonts w:hint="eastAsia" w:ascii="宋体" w:hAnsi="宋体" w:eastAsia="宋体" w:cs="宋体"/>
                <w:szCs w:val="21"/>
              </w:rPr>
            </w:pPr>
          </w:p>
        </w:tc>
      </w:tr>
      <w:tr w14:paraId="1D2803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8" w:hRule="atLeast"/>
          <w:jc w:val="center"/>
        </w:trPr>
        <w:tc>
          <w:tcPr>
            <w:tcW w:w="423" w:type="pct"/>
            <w:tcBorders>
              <w:top w:val="single" w:color="auto" w:sz="4" w:space="0"/>
              <w:left w:val="single" w:color="auto" w:sz="4" w:space="0"/>
              <w:bottom w:val="single" w:color="auto" w:sz="4" w:space="0"/>
              <w:right w:val="single" w:color="auto" w:sz="4" w:space="0"/>
            </w:tcBorders>
            <w:vAlign w:val="center"/>
          </w:tcPr>
          <w:p w14:paraId="10D5F237">
            <w:pPr>
              <w:adjustRightInd w:val="0"/>
              <w:snapToGrid w:val="0"/>
              <w:spacing w:line="340" w:lineRule="exact"/>
              <w:jc w:val="center"/>
              <w:rPr>
                <w:rFonts w:hint="eastAsia" w:ascii="宋体" w:hAnsi="宋体" w:eastAsia="宋体" w:cs="宋体"/>
                <w:szCs w:val="21"/>
              </w:rPr>
            </w:pPr>
            <w:r>
              <w:rPr>
                <w:rFonts w:hint="eastAsia" w:ascii="宋体" w:hAnsi="宋体" w:eastAsia="宋体" w:cs="宋体"/>
                <w:szCs w:val="21"/>
              </w:rPr>
              <w:t>……</w:t>
            </w:r>
          </w:p>
        </w:tc>
        <w:tc>
          <w:tcPr>
            <w:tcW w:w="881" w:type="pct"/>
            <w:tcBorders>
              <w:top w:val="single" w:color="auto" w:sz="4" w:space="0"/>
              <w:left w:val="single" w:color="auto" w:sz="4" w:space="0"/>
              <w:bottom w:val="single" w:color="auto" w:sz="4" w:space="0"/>
              <w:right w:val="single" w:color="auto" w:sz="4" w:space="0"/>
            </w:tcBorders>
            <w:vAlign w:val="center"/>
          </w:tcPr>
          <w:p w14:paraId="6B9F1E08">
            <w:pPr>
              <w:adjustRightInd w:val="0"/>
              <w:snapToGrid w:val="0"/>
              <w:spacing w:line="340" w:lineRule="exact"/>
              <w:jc w:val="center"/>
              <w:rPr>
                <w:rFonts w:hint="eastAsia" w:ascii="宋体" w:hAnsi="宋体" w:eastAsia="宋体" w:cs="宋体"/>
                <w:szCs w:val="21"/>
              </w:rPr>
            </w:pPr>
          </w:p>
        </w:tc>
        <w:tc>
          <w:tcPr>
            <w:tcW w:w="1517" w:type="pct"/>
            <w:tcBorders>
              <w:top w:val="single" w:color="auto" w:sz="4" w:space="0"/>
              <w:left w:val="single" w:color="auto" w:sz="4" w:space="0"/>
              <w:bottom w:val="single" w:color="auto" w:sz="4" w:space="0"/>
              <w:right w:val="single" w:color="auto" w:sz="4" w:space="0"/>
            </w:tcBorders>
            <w:vAlign w:val="center"/>
          </w:tcPr>
          <w:p w14:paraId="595E52F4">
            <w:pPr>
              <w:adjustRightInd w:val="0"/>
              <w:snapToGrid w:val="0"/>
              <w:spacing w:line="340" w:lineRule="exact"/>
              <w:jc w:val="center"/>
              <w:rPr>
                <w:rFonts w:hint="eastAsia" w:ascii="宋体" w:hAnsi="宋体" w:eastAsia="宋体" w:cs="宋体"/>
                <w:szCs w:val="21"/>
              </w:rPr>
            </w:pPr>
          </w:p>
        </w:tc>
        <w:tc>
          <w:tcPr>
            <w:tcW w:w="1396" w:type="pct"/>
            <w:tcBorders>
              <w:top w:val="single" w:color="auto" w:sz="4" w:space="0"/>
              <w:left w:val="single" w:color="auto" w:sz="4" w:space="0"/>
              <w:bottom w:val="single" w:color="auto" w:sz="4" w:space="0"/>
              <w:right w:val="single" w:color="auto" w:sz="4" w:space="0"/>
            </w:tcBorders>
            <w:vAlign w:val="center"/>
          </w:tcPr>
          <w:p w14:paraId="52E9B5B4">
            <w:pPr>
              <w:widowControl/>
              <w:adjustRightInd w:val="0"/>
              <w:snapToGrid w:val="0"/>
              <w:spacing w:line="340" w:lineRule="exact"/>
              <w:jc w:val="center"/>
              <w:rPr>
                <w:rFonts w:hint="eastAsia" w:ascii="宋体" w:hAnsi="宋体" w:eastAsia="宋体" w:cs="宋体"/>
                <w:szCs w:val="21"/>
              </w:rPr>
            </w:pPr>
          </w:p>
        </w:tc>
        <w:tc>
          <w:tcPr>
            <w:tcW w:w="781" w:type="pct"/>
            <w:tcBorders>
              <w:top w:val="single" w:color="auto" w:sz="4" w:space="0"/>
              <w:left w:val="single" w:color="auto" w:sz="4" w:space="0"/>
              <w:bottom w:val="single" w:color="auto" w:sz="4" w:space="0"/>
              <w:right w:val="single" w:color="auto" w:sz="4" w:space="0"/>
            </w:tcBorders>
            <w:vAlign w:val="center"/>
          </w:tcPr>
          <w:p w14:paraId="1DF89930">
            <w:pPr>
              <w:widowControl/>
              <w:adjustRightInd w:val="0"/>
              <w:snapToGrid w:val="0"/>
              <w:spacing w:line="340" w:lineRule="exact"/>
              <w:jc w:val="center"/>
              <w:rPr>
                <w:rFonts w:hint="eastAsia" w:ascii="宋体" w:hAnsi="宋体" w:eastAsia="宋体" w:cs="宋体"/>
                <w:szCs w:val="21"/>
              </w:rPr>
            </w:pPr>
          </w:p>
        </w:tc>
      </w:tr>
    </w:tbl>
    <w:p w14:paraId="722235C8">
      <w:pPr>
        <w:spacing w:line="520" w:lineRule="exact"/>
        <w:rPr>
          <w:rFonts w:hint="eastAsia" w:ascii="宋体" w:hAnsi="宋体" w:eastAsia="宋体" w:cs="宋体"/>
          <w:b/>
          <w:bCs/>
          <w:kern w:val="0"/>
          <w:sz w:val="24"/>
          <w:shd w:val="clear" w:color="auto" w:fill="FFFFFF"/>
        </w:rPr>
      </w:pPr>
    </w:p>
    <w:p w14:paraId="009CE8CA">
      <w:pPr>
        <w:spacing w:line="520" w:lineRule="exact"/>
        <w:rPr>
          <w:rFonts w:hint="eastAsia" w:ascii="宋体" w:hAnsi="宋体" w:eastAsia="宋体" w:cs="宋体"/>
          <w:kern w:val="0"/>
          <w:sz w:val="24"/>
          <w:shd w:val="clear" w:color="auto" w:fill="FFFFFF"/>
        </w:rPr>
      </w:pPr>
      <w:r>
        <w:rPr>
          <w:rFonts w:hint="eastAsia" w:ascii="宋体" w:hAnsi="宋体" w:eastAsia="宋体" w:cs="宋体"/>
          <w:kern w:val="0"/>
          <w:sz w:val="24"/>
          <w:shd w:val="clear" w:color="auto" w:fill="FFFFFF"/>
        </w:rPr>
        <w:t>供应商应根据自身情况，在功能参数偏离表中详细列明实际响应情况，并填写“偏离说明”。“偏离说明”栏注明“正偏离”、“负偏离”或“无偏离”。</w:t>
      </w:r>
    </w:p>
    <w:p w14:paraId="67A1A27E">
      <w:pPr>
        <w:pStyle w:val="22"/>
        <w:spacing w:line="600" w:lineRule="exact"/>
        <w:ind w:left="6240" w:hanging="6240" w:hangingChars="2600"/>
        <w:jc w:val="both"/>
        <w:rPr>
          <w:rFonts w:hint="eastAsia" w:ascii="宋体" w:hAnsi="宋体" w:eastAsia="宋体" w:cs="宋体"/>
          <w:bCs w:val="0"/>
          <w:color w:val="auto"/>
          <w:kern w:val="2"/>
          <w:sz w:val="24"/>
          <w:szCs w:val="24"/>
        </w:rPr>
      </w:pPr>
    </w:p>
    <w:p w14:paraId="2FD966CC">
      <w:pPr>
        <w:pStyle w:val="22"/>
        <w:spacing w:line="600" w:lineRule="exact"/>
        <w:ind w:left="6240" w:hanging="6240" w:hangingChars="2600"/>
        <w:jc w:val="both"/>
        <w:rPr>
          <w:rFonts w:hint="eastAsia" w:ascii="宋体" w:hAnsi="宋体" w:eastAsia="宋体" w:cs="宋体"/>
          <w:bCs w:val="0"/>
          <w:color w:val="auto"/>
          <w:kern w:val="2"/>
          <w:sz w:val="24"/>
          <w:szCs w:val="24"/>
        </w:rPr>
      </w:pPr>
      <w:r>
        <w:rPr>
          <w:rFonts w:hint="eastAsia" w:ascii="宋体" w:hAnsi="宋体" w:eastAsia="宋体" w:cs="宋体"/>
          <w:bCs w:val="0"/>
          <w:color w:val="auto"/>
          <w:kern w:val="2"/>
          <w:sz w:val="24"/>
          <w:szCs w:val="24"/>
        </w:rPr>
        <w:t>公司名称（盖章）：</w:t>
      </w:r>
    </w:p>
    <w:p w14:paraId="4D7F04D8">
      <w:pPr>
        <w:pStyle w:val="22"/>
        <w:spacing w:line="600" w:lineRule="exact"/>
        <w:jc w:val="both"/>
        <w:rPr>
          <w:rFonts w:hint="eastAsia" w:ascii="宋体" w:hAnsi="宋体" w:eastAsia="宋体" w:cs="宋体"/>
          <w:bCs w:val="0"/>
          <w:color w:val="auto"/>
          <w:kern w:val="2"/>
          <w:sz w:val="24"/>
          <w:szCs w:val="24"/>
        </w:rPr>
      </w:pPr>
      <w:r>
        <w:rPr>
          <w:rFonts w:hint="eastAsia" w:ascii="宋体" w:hAnsi="宋体" w:eastAsia="宋体" w:cs="宋体"/>
          <w:bCs w:val="0"/>
          <w:color w:val="auto"/>
          <w:kern w:val="2"/>
          <w:sz w:val="24"/>
          <w:szCs w:val="24"/>
        </w:rPr>
        <w:t>联系人姓名：</w:t>
      </w:r>
    </w:p>
    <w:p w14:paraId="192DFE57">
      <w:pPr>
        <w:pStyle w:val="22"/>
        <w:spacing w:line="600" w:lineRule="exact"/>
        <w:jc w:val="both"/>
        <w:rPr>
          <w:rFonts w:hint="eastAsia" w:ascii="宋体" w:hAnsi="宋体" w:eastAsia="宋体" w:cs="宋体"/>
          <w:bCs w:val="0"/>
          <w:color w:val="auto"/>
          <w:kern w:val="2"/>
          <w:sz w:val="24"/>
          <w:szCs w:val="24"/>
          <w:u w:val="single"/>
        </w:rPr>
      </w:pPr>
      <w:r>
        <w:rPr>
          <w:rFonts w:hint="eastAsia" w:ascii="宋体" w:hAnsi="宋体" w:eastAsia="宋体" w:cs="宋体"/>
          <w:bCs w:val="0"/>
          <w:color w:val="auto"/>
          <w:kern w:val="2"/>
          <w:sz w:val="24"/>
          <w:szCs w:val="24"/>
        </w:rPr>
        <w:t>联系人电话：</w:t>
      </w:r>
    </w:p>
    <w:p w14:paraId="3FEB7D1A">
      <w:pPr>
        <w:pStyle w:val="22"/>
        <w:spacing w:line="600" w:lineRule="exact"/>
        <w:jc w:val="both"/>
        <w:rPr>
          <w:rFonts w:hint="eastAsia" w:ascii="宋体" w:hAnsi="宋体" w:eastAsia="宋体" w:cs="宋体"/>
          <w:bCs w:val="0"/>
          <w:color w:val="auto"/>
          <w:kern w:val="2"/>
          <w:sz w:val="24"/>
          <w:szCs w:val="24"/>
          <w:u w:val="single"/>
        </w:rPr>
      </w:pPr>
      <w:r>
        <w:rPr>
          <w:rFonts w:hint="eastAsia" w:ascii="宋体" w:hAnsi="宋体" w:eastAsia="宋体" w:cs="宋体"/>
          <w:bCs w:val="0"/>
          <w:color w:val="auto"/>
          <w:kern w:val="2"/>
          <w:sz w:val="24"/>
          <w:szCs w:val="24"/>
        </w:rPr>
        <w:t>联系人邮箱：</w:t>
      </w:r>
    </w:p>
    <w:p w14:paraId="652B8BFC">
      <w:pPr>
        <w:spacing w:line="600" w:lineRule="exact"/>
        <w:rPr>
          <w:rFonts w:hint="eastAsia" w:ascii="宋体" w:hAnsi="宋体" w:eastAsia="宋体" w:cs="宋体"/>
          <w:sz w:val="24"/>
        </w:rPr>
      </w:pPr>
      <w:r>
        <w:rPr>
          <w:rFonts w:hint="eastAsia" w:ascii="宋体" w:hAnsi="宋体" w:eastAsia="宋体" w:cs="宋体"/>
          <w:sz w:val="24"/>
        </w:rPr>
        <w:t xml:space="preserve">日期： </w:t>
      </w:r>
    </w:p>
    <w:p w14:paraId="621B9001">
      <w:pPr>
        <w:spacing w:line="520" w:lineRule="exact"/>
        <w:rPr>
          <w:rFonts w:hint="eastAsia" w:ascii="宋体" w:hAnsi="宋体" w:eastAsia="宋体" w:cs="宋体"/>
          <w:kern w:val="0"/>
          <w:sz w:val="24"/>
          <w:shd w:val="clear" w:color="auto" w:fill="FFFFFF"/>
        </w:rPr>
      </w:pPr>
    </w:p>
    <w:p w14:paraId="0014BAE5">
      <w:pPr>
        <w:spacing w:line="520" w:lineRule="exact"/>
        <w:rPr>
          <w:rFonts w:hint="eastAsia" w:ascii="宋体" w:hAnsi="宋体" w:eastAsia="宋体" w:cs="宋体"/>
          <w:kern w:val="0"/>
          <w:sz w:val="24"/>
          <w:shd w:val="clear" w:color="auto" w:fill="FFFFFF"/>
        </w:rPr>
      </w:pPr>
    </w:p>
    <w:p w14:paraId="3025FC64">
      <w:pPr>
        <w:spacing w:line="520" w:lineRule="exact"/>
        <w:rPr>
          <w:rFonts w:hint="eastAsia" w:ascii="宋体" w:hAnsi="宋体" w:eastAsia="宋体" w:cs="宋体"/>
          <w:kern w:val="0"/>
          <w:sz w:val="24"/>
          <w:shd w:val="clear" w:color="auto" w:fill="FFFFFF"/>
        </w:rPr>
      </w:pPr>
    </w:p>
    <w:p w14:paraId="615702B7">
      <w:pPr>
        <w:spacing w:line="520" w:lineRule="exact"/>
        <w:rPr>
          <w:rFonts w:hint="eastAsia" w:ascii="宋体" w:hAnsi="宋体" w:eastAsia="宋体" w:cs="宋体"/>
          <w:kern w:val="0"/>
          <w:sz w:val="24"/>
          <w:shd w:val="clear" w:color="auto" w:fill="FFFFFF"/>
        </w:rPr>
      </w:pPr>
    </w:p>
    <w:p w14:paraId="28835966">
      <w:pPr>
        <w:spacing w:line="520" w:lineRule="exact"/>
        <w:rPr>
          <w:rFonts w:hint="eastAsia" w:ascii="宋体" w:hAnsi="宋体" w:eastAsia="宋体" w:cs="宋体"/>
          <w:kern w:val="0"/>
          <w:sz w:val="24"/>
          <w:shd w:val="clear" w:color="auto" w:fill="FFFFFF"/>
        </w:rPr>
      </w:pPr>
    </w:p>
    <w:p w14:paraId="47D101C6">
      <w:pPr>
        <w:spacing w:line="520" w:lineRule="exact"/>
        <w:rPr>
          <w:rFonts w:hint="eastAsia" w:ascii="宋体" w:hAnsi="宋体" w:eastAsia="宋体" w:cs="宋体"/>
          <w:kern w:val="0"/>
          <w:sz w:val="24"/>
          <w:shd w:val="clear" w:color="auto" w:fill="FFFFFF"/>
        </w:rPr>
      </w:pPr>
    </w:p>
    <w:p w14:paraId="1B0754FE">
      <w:pPr>
        <w:spacing w:line="520" w:lineRule="exact"/>
        <w:rPr>
          <w:rFonts w:hint="eastAsia" w:ascii="宋体" w:hAnsi="宋体" w:eastAsia="宋体" w:cs="宋体"/>
          <w:kern w:val="0"/>
          <w:sz w:val="24"/>
          <w:shd w:val="clear" w:color="auto" w:fill="FFFFFF"/>
        </w:rPr>
      </w:pPr>
    </w:p>
    <w:p w14:paraId="5D6B100C">
      <w:pPr>
        <w:spacing w:line="520" w:lineRule="exact"/>
        <w:rPr>
          <w:rFonts w:hint="eastAsia" w:ascii="宋体" w:hAnsi="宋体" w:eastAsia="宋体" w:cs="宋体"/>
          <w:kern w:val="0"/>
          <w:sz w:val="24"/>
          <w:shd w:val="clear" w:color="auto" w:fill="FFFFFF"/>
        </w:rPr>
      </w:pPr>
    </w:p>
    <w:p w14:paraId="711569A6">
      <w:pPr>
        <w:spacing w:line="520" w:lineRule="exact"/>
        <w:rPr>
          <w:rFonts w:hint="eastAsia" w:ascii="宋体" w:hAnsi="宋体" w:eastAsia="宋体" w:cs="宋体"/>
          <w:kern w:val="0"/>
          <w:sz w:val="24"/>
          <w:shd w:val="clear" w:color="auto" w:fill="FFFFFF"/>
        </w:rPr>
      </w:pPr>
    </w:p>
    <w:p w14:paraId="7D8255A3">
      <w:pPr>
        <w:spacing w:line="360" w:lineRule="auto"/>
        <w:jc w:val="left"/>
        <w:rPr>
          <w:rFonts w:hint="eastAsia" w:ascii="宋体" w:hAnsi="宋体" w:eastAsia="宋体" w:cs="宋体"/>
          <w:kern w:val="0"/>
          <w:sz w:val="24"/>
          <w:shd w:val="clear" w:color="auto" w:fill="FFFFFF"/>
        </w:rPr>
      </w:pPr>
      <w:r>
        <w:rPr>
          <w:rFonts w:hint="eastAsia" w:ascii="宋体" w:hAnsi="宋体" w:eastAsia="宋体" w:cs="宋体"/>
          <w:b/>
          <w:bCs/>
          <w:kern w:val="0"/>
          <w:sz w:val="24"/>
          <w:shd w:val="clear" w:color="auto" w:fill="FFFFFF"/>
        </w:rPr>
        <w:t xml:space="preserve">附件4： </w:t>
      </w:r>
    </w:p>
    <w:p w14:paraId="66F9C24F">
      <w:pPr>
        <w:spacing w:line="360" w:lineRule="auto"/>
        <w:ind w:firstLine="562" w:firstLineChars="200"/>
        <w:jc w:val="center"/>
        <w:rPr>
          <w:rFonts w:hint="eastAsia" w:ascii="宋体" w:hAnsi="宋体" w:eastAsia="宋体" w:cs="宋体"/>
          <w:b/>
          <w:bCs/>
          <w:sz w:val="28"/>
          <w:szCs w:val="28"/>
        </w:rPr>
      </w:pPr>
      <w:r>
        <w:rPr>
          <w:rFonts w:hint="eastAsia" w:ascii="宋体" w:hAnsi="宋体" w:eastAsia="宋体" w:cs="宋体"/>
          <w:b/>
          <w:bCs/>
          <w:sz w:val="28"/>
          <w:szCs w:val="28"/>
        </w:rPr>
        <w:t>参与调查供应商的基本信息</w:t>
      </w:r>
    </w:p>
    <w:p w14:paraId="4B7C2EFE">
      <w:pPr>
        <w:spacing w:line="360" w:lineRule="auto"/>
        <w:ind w:firstLine="562" w:firstLineChars="200"/>
        <w:jc w:val="left"/>
        <w:rPr>
          <w:rFonts w:hint="eastAsia" w:ascii="宋体" w:hAnsi="宋体" w:eastAsia="宋体" w:cs="宋体"/>
          <w:b/>
          <w:bCs/>
          <w:sz w:val="28"/>
          <w:szCs w:val="28"/>
        </w:rPr>
      </w:pPr>
    </w:p>
    <w:tbl>
      <w:tblPr>
        <w:tblStyle w:val="13"/>
        <w:tblW w:w="8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2160"/>
        <w:gridCol w:w="599"/>
        <w:gridCol w:w="1713"/>
        <w:gridCol w:w="200"/>
        <w:gridCol w:w="2140"/>
      </w:tblGrid>
      <w:tr w14:paraId="6924B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43E6F988">
            <w:pPr>
              <w:spacing w:line="480" w:lineRule="exact"/>
              <w:jc w:val="center"/>
              <w:rPr>
                <w:rFonts w:hint="eastAsia" w:ascii="宋体" w:hAnsi="宋体" w:cs="宋体"/>
                <w:sz w:val="24"/>
              </w:rPr>
            </w:pPr>
            <w:r>
              <w:rPr>
                <w:rFonts w:hint="eastAsia" w:ascii="宋体" w:hAnsi="宋体" w:cs="宋体"/>
              </w:rPr>
              <w:t>供应商名称</w:t>
            </w:r>
          </w:p>
        </w:tc>
        <w:tc>
          <w:tcPr>
            <w:tcW w:w="2160" w:type="dxa"/>
            <w:tcBorders>
              <w:top w:val="single" w:color="auto" w:sz="4" w:space="0"/>
              <w:left w:val="single" w:color="auto" w:sz="4" w:space="0"/>
              <w:bottom w:val="single" w:color="auto" w:sz="4" w:space="0"/>
              <w:right w:val="single" w:color="auto" w:sz="4" w:space="0"/>
            </w:tcBorders>
            <w:noWrap/>
            <w:vAlign w:val="center"/>
          </w:tcPr>
          <w:p w14:paraId="6CDFE99E">
            <w:pPr>
              <w:spacing w:line="480" w:lineRule="exact"/>
              <w:rPr>
                <w:rFonts w:hint="eastAsia" w:ascii="宋体" w:hAnsi="宋体" w:cs="宋体"/>
                <w:sz w:val="24"/>
              </w:rPr>
            </w:pPr>
          </w:p>
        </w:tc>
        <w:tc>
          <w:tcPr>
            <w:tcW w:w="2512" w:type="dxa"/>
            <w:gridSpan w:val="3"/>
            <w:tcBorders>
              <w:top w:val="single" w:color="auto" w:sz="4" w:space="0"/>
              <w:left w:val="single" w:color="auto" w:sz="4" w:space="0"/>
              <w:bottom w:val="single" w:color="auto" w:sz="4" w:space="0"/>
              <w:right w:val="single" w:color="auto" w:sz="4" w:space="0"/>
            </w:tcBorders>
            <w:noWrap/>
            <w:vAlign w:val="center"/>
          </w:tcPr>
          <w:p w14:paraId="3CFBCF28">
            <w:pPr>
              <w:spacing w:line="480" w:lineRule="exact"/>
              <w:jc w:val="center"/>
              <w:rPr>
                <w:rFonts w:hint="eastAsia" w:ascii="宋体" w:hAnsi="宋体" w:cs="宋体"/>
                <w:sz w:val="24"/>
              </w:rPr>
            </w:pPr>
            <w:r>
              <w:rPr>
                <w:rFonts w:hint="eastAsia" w:ascii="宋体" w:hAnsi="宋体" w:cs="宋体"/>
              </w:rPr>
              <w:t>成立日期</w:t>
            </w:r>
          </w:p>
        </w:tc>
        <w:tc>
          <w:tcPr>
            <w:tcW w:w="2140" w:type="dxa"/>
            <w:tcBorders>
              <w:top w:val="single" w:color="auto" w:sz="4" w:space="0"/>
              <w:left w:val="single" w:color="auto" w:sz="4" w:space="0"/>
              <w:bottom w:val="single" w:color="auto" w:sz="4" w:space="0"/>
              <w:right w:val="single" w:color="auto" w:sz="4" w:space="0"/>
            </w:tcBorders>
            <w:noWrap/>
            <w:vAlign w:val="center"/>
          </w:tcPr>
          <w:p w14:paraId="73837C56">
            <w:pPr>
              <w:spacing w:line="480" w:lineRule="exact"/>
              <w:rPr>
                <w:rFonts w:hint="eastAsia" w:ascii="宋体" w:hAnsi="宋体" w:cs="宋体"/>
                <w:sz w:val="24"/>
              </w:rPr>
            </w:pPr>
          </w:p>
        </w:tc>
      </w:tr>
      <w:tr w14:paraId="4C2F3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4248" w:type="dxa"/>
            <w:gridSpan w:val="2"/>
            <w:tcBorders>
              <w:top w:val="single" w:color="auto" w:sz="4" w:space="0"/>
              <w:left w:val="single" w:color="auto" w:sz="4" w:space="0"/>
              <w:bottom w:val="single" w:color="auto" w:sz="4" w:space="0"/>
              <w:right w:val="single" w:color="auto" w:sz="4" w:space="0"/>
            </w:tcBorders>
            <w:noWrap/>
            <w:vAlign w:val="center"/>
          </w:tcPr>
          <w:p w14:paraId="4BF221EC">
            <w:pPr>
              <w:spacing w:line="480" w:lineRule="exact"/>
              <w:jc w:val="center"/>
              <w:rPr>
                <w:rFonts w:hint="eastAsia" w:ascii="宋体" w:hAnsi="宋体" w:cs="宋体"/>
                <w:sz w:val="24"/>
              </w:rPr>
            </w:pPr>
            <w:r>
              <w:rPr>
                <w:rFonts w:hint="eastAsia" w:ascii="宋体" w:hAnsi="宋体" w:cs="宋体"/>
                <w:sz w:val="24"/>
              </w:rPr>
              <w:t>企业</w:t>
            </w:r>
            <w:r>
              <w:rPr>
                <w:rFonts w:hint="eastAsia" w:ascii="宋体" w:hAnsi="宋体" w:cs="宋体"/>
              </w:rPr>
              <w:t>统一社会信用代码</w:t>
            </w:r>
          </w:p>
        </w:tc>
        <w:tc>
          <w:tcPr>
            <w:tcW w:w="4652" w:type="dxa"/>
            <w:gridSpan w:val="4"/>
            <w:tcBorders>
              <w:top w:val="single" w:color="auto" w:sz="4" w:space="0"/>
              <w:left w:val="single" w:color="auto" w:sz="4" w:space="0"/>
              <w:bottom w:val="single" w:color="auto" w:sz="4" w:space="0"/>
              <w:right w:val="single" w:color="auto" w:sz="4" w:space="0"/>
            </w:tcBorders>
            <w:noWrap/>
            <w:vAlign w:val="center"/>
          </w:tcPr>
          <w:p w14:paraId="3865A7F5">
            <w:pPr>
              <w:spacing w:line="480" w:lineRule="exact"/>
              <w:jc w:val="center"/>
              <w:rPr>
                <w:rFonts w:hint="eastAsia" w:ascii="宋体" w:hAnsi="宋体" w:cs="宋体"/>
                <w:sz w:val="24"/>
              </w:rPr>
            </w:pPr>
          </w:p>
        </w:tc>
      </w:tr>
      <w:tr w14:paraId="1D33C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38F15053">
            <w:pPr>
              <w:spacing w:line="480" w:lineRule="exact"/>
              <w:jc w:val="center"/>
              <w:rPr>
                <w:rFonts w:hint="eastAsia" w:ascii="宋体" w:hAnsi="宋体" w:cs="宋体"/>
                <w:sz w:val="24"/>
              </w:rPr>
            </w:pPr>
            <w:r>
              <w:rPr>
                <w:rFonts w:hint="eastAsia" w:ascii="宋体" w:hAnsi="宋体" w:cs="宋体"/>
              </w:rPr>
              <w:t>注册资本</w:t>
            </w:r>
          </w:p>
        </w:tc>
        <w:tc>
          <w:tcPr>
            <w:tcW w:w="2160" w:type="dxa"/>
            <w:tcBorders>
              <w:top w:val="single" w:color="auto" w:sz="4" w:space="0"/>
              <w:left w:val="single" w:color="auto" w:sz="4" w:space="0"/>
              <w:bottom w:val="single" w:color="auto" w:sz="4" w:space="0"/>
              <w:right w:val="single" w:color="auto" w:sz="4" w:space="0"/>
            </w:tcBorders>
            <w:noWrap/>
            <w:vAlign w:val="center"/>
          </w:tcPr>
          <w:p w14:paraId="618FCFD3">
            <w:pPr>
              <w:spacing w:line="480" w:lineRule="exact"/>
              <w:rPr>
                <w:rFonts w:hint="eastAsia" w:ascii="宋体" w:hAnsi="宋体" w:cs="宋体"/>
                <w:sz w:val="24"/>
              </w:rPr>
            </w:pPr>
          </w:p>
        </w:tc>
        <w:tc>
          <w:tcPr>
            <w:tcW w:w="2512" w:type="dxa"/>
            <w:gridSpan w:val="3"/>
            <w:tcBorders>
              <w:top w:val="single" w:color="auto" w:sz="4" w:space="0"/>
              <w:left w:val="single" w:color="auto" w:sz="4" w:space="0"/>
              <w:bottom w:val="single" w:color="auto" w:sz="4" w:space="0"/>
              <w:right w:val="single" w:color="auto" w:sz="4" w:space="0"/>
            </w:tcBorders>
            <w:noWrap/>
            <w:vAlign w:val="center"/>
          </w:tcPr>
          <w:p w14:paraId="33E1BCFB">
            <w:pPr>
              <w:spacing w:line="480" w:lineRule="exact"/>
              <w:jc w:val="center"/>
              <w:rPr>
                <w:rFonts w:hint="eastAsia" w:ascii="宋体" w:hAnsi="宋体" w:cs="宋体"/>
                <w:sz w:val="24"/>
              </w:rPr>
            </w:pPr>
            <w:r>
              <w:rPr>
                <w:rFonts w:hint="eastAsia" w:ascii="宋体" w:hAnsi="宋体" w:cs="宋体"/>
              </w:rPr>
              <w:t>企业类型</w:t>
            </w:r>
          </w:p>
        </w:tc>
        <w:tc>
          <w:tcPr>
            <w:tcW w:w="2140" w:type="dxa"/>
            <w:tcBorders>
              <w:top w:val="single" w:color="auto" w:sz="4" w:space="0"/>
              <w:left w:val="single" w:color="auto" w:sz="4" w:space="0"/>
              <w:bottom w:val="single" w:color="auto" w:sz="4" w:space="0"/>
              <w:right w:val="single" w:color="auto" w:sz="4" w:space="0"/>
            </w:tcBorders>
            <w:noWrap/>
            <w:vAlign w:val="center"/>
          </w:tcPr>
          <w:p w14:paraId="7EF63544">
            <w:pPr>
              <w:spacing w:line="480" w:lineRule="exact"/>
              <w:rPr>
                <w:rFonts w:hint="eastAsia" w:ascii="宋体" w:hAnsi="宋体" w:cs="宋体"/>
                <w:sz w:val="24"/>
              </w:rPr>
            </w:pPr>
          </w:p>
        </w:tc>
      </w:tr>
      <w:tr w14:paraId="1DED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3BDBABE8">
            <w:pPr>
              <w:spacing w:line="480" w:lineRule="exact"/>
              <w:jc w:val="center"/>
              <w:rPr>
                <w:rFonts w:hint="eastAsia" w:ascii="宋体" w:hAnsi="宋体" w:cs="宋体"/>
                <w:sz w:val="24"/>
              </w:rPr>
            </w:pPr>
            <w:r>
              <w:rPr>
                <w:rFonts w:hint="eastAsia" w:ascii="宋体" w:hAnsi="宋体" w:cs="宋体"/>
              </w:rPr>
              <w:t>批准登记机关</w:t>
            </w:r>
          </w:p>
        </w:tc>
        <w:tc>
          <w:tcPr>
            <w:tcW w:w="2160" w:type="dxa"/>
            <w:tcBorders>
              <w:top w:val="single" w:color="auto" w:sz="4" w:space="0"/>
              <w:left w:val="single" w:color="auto" w:sz="4" w:space="0"/>
              <w:bottom w:val="single" w:color="auto" w:sz="4" w:space="0"/>
              <w:right w:val="single" w:color="auto" w:sz="4" w:space="0"/>
            </w:tcBorders>
            <w:noWrap/>
            <w:vAlign w:val="center"/>
          </w:tcPr>
          <w:p w14:paraId="344B466B">
            <w:pPr>
              <w:spacing w:line="480" w:lineRule="exact"/>
              <w:rPr>
                <w:rFonts w:hint="eastAsia" w:ascii="宋体" w:hAnsi="宋体" w:cs="宋体"/>
                <w:sz w:val="24"/>
              </w:rPr>
            </w:pPr>
          </w:p>
        </w:tc>
        <w:tc>
          <w:tcPr>
            <w:tcW w:w="2512" w:type="dxa"/>
            <w:gridSpan w:val="3"/>
            <w:tcBorders>
              <w:top w:val="single" w:color="auto" w:sz="4" w:space="0"/>
              <w:left w:val="single" w:color="auto" w:sz="4" w:space="0"/>
              <w:bottom w:val="single" w:color="auto" w:sz="4" w:space="0"/>
              <w:right w:val="single" w:color="auto" w:sz="4" w:space="0"/>
            </w:tcBorders>
            <w:noWrap/>
            <w:vAlign w:val="center"/>
          </w:tcPr>
          <w:p w14:paraId="45ED297E">
            <w:pPr>
              <w:spacing w:line="480" w:lineRule="exact"/>
              <w:jc w:val="center"/>
              <w:rPr>
                <w:rFonts w:hint="eastAsia" w:ascii="宋体" w:hAnsi="宋体" w:cs="宋体"/>
                <w:sz w:val="24"/>
              </w:rPr>
            </w:pPr>
            <w:r>
              <w:rPr>
                <w:rFonts w:hint="eastAsia" w:ascii="宋体" w:hAnsi="宋体" w:cs="宋体"/>
              </w:rPr>
              <w:t>企业属性</w:t>
            </w:r>
          </w:p>
        </w:tc>
        <w:tc>
          <w:tcPr>
            <w:tcW w:w="2140" w:type="dxa"/>
            <w:tcBorders>
              <w:top w:val="single" w:color="auto" w:sz="4" w:space="0"/>
              <w:left w:val="single" w:color="auto" w:sz="4" w:space="0"/>
              <w:bottom w:val="single" w:color="auto" w:sz="4" w:space="0"/>
              <w:right w:val="single" w:color="auto" w:sz="4" w:space="0"/>
            </w:tcBorders>
            <w:noWrap/>
            <w:vAlign w:val="center"/>
          </w:tcPr>
          <w:p w14:paraId="576C05EC">
            <w:pPr>
              <w:spacing w:line="480" w:lineRule="exact"/>
              <w:rPr>
                <w:rFonts w:hint="eastAsia" w:ascii="宋体" w:hAnsi="宋体" w:cs="宋体"/>
                <w:sz w:val="24"/>
              </w:rPr>
            </w:pPr>
            <w:r>
              <w:rPr>
                <w:rFonts w:hint="eastAsia" w:ascii="宋体" w:hAnsi="宋体" w:cs="宋体"/>
                <w:szCs w:val="21"/>
              </w:rPr>
              <w:t>大/中/小/微型企业</w:t>
            </w:r>
          </w:p>
        </w:tc>
      </w:tr>
      <w:tr w14:paraId="7BD0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4D0D3AC5">
            <w:pPr>
              <w:spacing w:line="480" w:lineRule="exact"/>
              <w:jc w:val="center"/>
              <w:rPr>
                <w:rFonts w:hint="eastAsia" w:ascii="宋体" w:hAnsi="宋体" w:cs="宋体"/>
                <w:sz w:val="24"/>
              </w:rPr>
            </w:pPr>
            <w:r>
              <w:rPr>
                <w:rFonts w:hint="eastAsia" w:ascii="宋体" w:hAnsi="宋体" w:cs="宋体"/>
              </w:rPr>
              <w:t>法定代表人</w:t>
            </w:r>
          </w:p>
        </w:tc>
        <w:tc>
          <w:tcPr>
            <w:tcW w:w="2160" w:type="dxa"/>
            <w:tcBorders>
              <w:top w:val="single" w:color="auto" w:sz="4" w:space="0"/>
              <w:left w:val="single" w:color="auto" w:sz="4" w:space="0"/>
              <w:bottom w:val="single" w:color="auto" w:sz="4" w:space="0"/>
              <w:right w:val="single" w:color="auto" w:sz="4" w:space="0"/>
            </w:tcBorders>
            <w:noWrap/>
            <w:vAlign w:val="center"/>
          </w:tcPr>
          <w:p w14:paraId="493A59FC">
            <w:pPr>
              <w:spacing w:line="480" w:lineRule="exact"/>
              <w:rPr>
                <w:rFonts w:hint="eastAsia" w:ascii="宋体" w:hAnsi="宋体" w:cs="宋体"/>
                <w:sz w:val="24"/>
              </w:rPr>
            </w:pPr>
          </w:p>
        </w:tc>
        <w:tc>
          <w:tcPr>
            <w:tcW w:w="2512" w:type="dxa"/>
            <w:gridSpan w:val="3"/>
            <w:tcBorders>
              <w:top w:val="single" w:color="auto" w:sz="4" w:space="0"/>
              <w:left w:val="single" w:color="auto" w:sz="4" w:space="0"/>
              <w:bottom w:val="single" w:color="auto" w:sz="4" w:space="0"/>
              <w:right w:val="single" w:color="auto" w:sz="4" w:space="0"/>
            </w:tcBorders>
            <w:noWrap/>
            <w:vAlign w:val="center"/>
          </w:tcPr>
          <w:p w14:paraId="758B6ECA">
            <w:pPr>
              <w:spacing w:line="480" w:lineRule="exact"/>
              <w:jc w:val="center"/>
              <w:rPr>
                <w:rFonts w:hint="eastAsia" w:ascii="宋体" w:hAnsi="宋体" w:cs="宋体"/>
                <w:sz w:val="24"/>
              </w:rPr>
            </w:pPr>
            <w:r>
              <w:rPr>
                <w:rFonts w:hint="eastAsia" w:ascii="宋体" w:hAnsi="宋体" w:cs="宋体"/>
              </w:rPr>
              <w:t>营业期限</w:t>
            </w:r>
          </w:p>
        </w:tc>
        <w:tc>
          <w:tcPr>
            <w:tcW w:w="2140" w:type="dxa"/>
            <w:tcBorders>
              <w:top w:val="single" w:color="auto" w:sz="4" w:space="0"/>
              <w:left w:val="single" w:color="auto" w:sz="4" w:space="0"/>
              <w:bottom w:val="single" w:color="auto" w:sz="4" w:space="0"/>
              <w:right w:val="single" w:color="auto" w:sz="4" w:space="0"/>
            </w:tcBorders>
            <w:noWrap/>
            <w:vAlign w:val="center"/>
          </w:tcPr>
          <w:p w14:paraId="45C93FD5">
            <w:pPr>
              <w:spacing w:line="480" w:lineRule="exact"/>
              <w:rPr>
                <w:rFonts w:hint="eastAsia" w:ascii="宋体" w:hAnsi="宋体" w:cs="宋体"/>
                <w:sz w:val="24"/>
              </w:rPr>
            </w:pPr>
          </w:p>
        </w:tc>
      </w:tr>
      <w:tr w14:paraId="1447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31AE1003">
            <w:pPr>
              <w:spacing w:line="480" w:lineRule="exact"/>
              <w:jc w:val="center"/>
              <w:rPr>
                <w:rFonts w:hint="eastAsia" w:ascii="宋体" w:hAnsi="宋体" w:cs="宋体"/>
                <w:sz w:val="24"/>
              </w:rPr>
            </w:pPr>
            <w:r>
              <w:rPr>
                <w:rFonts w:hint="eastAsia" w:ascii="宋体" w:hAnsi="宋体" w:cs="宋体"/>
              </w:rPr>
              <w:t>主营业务</w:t>
            </w:r>
          </w:p>
        </w:tc>
        <w:tc>
          <w:tcPr>
            <w:tcW w:w="6812" w:type="dxa"/>
            <w:gridSpan w:val="5"/>
            <w:tcBorders>
              <w:top w:val="single" w:color="auto" w:sz="4" w:space="0"/>
              <w:left w:val="single" w:color="auto" w:sz="4" w:space="0"/>
              <w:bottom w:val="single" w:color="auto" w:sz="4" w:space="0"/>
              <w:right w:val="single" w:color="auto" w:sz="4" w:space="0"/>
            </w:tcBorders>
            <w:noWrap/>
            <w:vAlign w:val="center"/>
          </w:tcPr>
          <w:p w14:paraId="20FBAA0D">
            <w:pPr>
              <w:spacing w:line="480" w:lineRule="exact"/>
              <w:rPr>
                <w:rFonts w:hint="eastAsia" w:ascii="宋体" w:hAnsi="宋体" w:cs="宋体"/>
                <w:sz w:val="24"/>
              </w:rPr>
            </w:pPr>
          </w:p>
        </w:tc>
      </w:tr>
      <w:tr w14:paraId="71BC0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35233D9C">
            <w:pPr>
              <w:spacing w:line="480" w:lineRule="exact"/>
              <w:jc w:val="center"/>
              <w:rPr>
                <w:rFonts w:hint="eastAsia" w:ascii="宋体" w:hAnsi="宋体" w:cs="宋体"/>
                <w:sz w:val="24"/>
              </w:rPr>
            </w:pPr>
            <w:r>
              <w:rPr>
                <w:rFonts w:hint="eastAsia" w:ascii="宋体" w:hAnsi="宋体" w:cs="宋体"/>
              </w:rPr>
              <w:t>地  址</w:t>
            </w:r>
          </w:p>
        </w:tc>
        <w:tc>
          <w:tcPr>
            <w:tcW w:w="6812" w:type="dxa"/>
            <w:gridSpan w:val="5"/>
            <w:tcBorders>
              <w:top w:val="single" w:color="auto" w:sz="4" w:space="0"/>
              <w:left w:val="single" w:color="auto" w:sz="4" w:space="0"/>
              <w:bottom w:val="single" w:color="auto" w:sz="4" w:space="0"/>
              <w:right w:val="single" w:color="auto" w:sz="4" w:space="0"/>
            </w:tcBorders>
            <w:noWrap/>
            <w:vAlign w:val="center"/>
          </w:tcPr>
          <w:p w14:paraId="1004DF6F">
            <w:pPr>
              <w:spacing w:line="480" w:lineRule="exact"/>
              <w:rPr>
                <w:rFonts w:hint="eastAsia" w:ascii="宋体" w:hAnsi="宋体" w:cs="宋体"/>
                <w:sz w:val="24"/>
              </w:rPr>
            </w:pPr>
          </w:p>
        </w:tc>
      </w:tr>
      <w:tr w14:paraId="3256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407C2478">
            <w:pPr>
              <w:spacing w:line="480" w:lineRule="exact"/>
              <w:jc w:val="center"/>
              <w:rPr>
                <w:rFonts w:hint="eastAsia" w:ascii="宋体" w:hAnsi="宋体" w:cs="宋体"/>
                <w:sz w:val="24"/>
              </w:rPr>
            </w:pPr>
            <w:r>
              <w:rPr>
                <w:rFonts w:hint="eastAsia" w:ascii="宋体" w:hAnsi="宋体" w:cs="宋体"/>
              </w:rPr>
              <w:t>电  话</w:t>
            </w:r>
          </w:p>
        </w:tc>
        <w:tc>
          <w:tcPr>
            <w:tcW w:w="2759" w:type="dxa"/>
            <w:gridSpan w:val="2"/>
            <w:tcBorders>
              <w:top w:val="single" w:color="auto" w:sz="4" w:space="0"/>
              <w:left w:val="single" w:color="auto" w:sz="4" w:space="0"/>
              <w:bottom w:val="single" w:color="auto" w:sz="4" w:space="0"/>
              <w:right w:val="single" w:color="auto" w:sz="4" w:space="0"/>
            </w:tcBorders>
            <w:noWrap/>
            <w:vAlign w:val="center"/>
          </w:tcPr>
          <w:p w14:paraId="67B6A824">
            <w:pPr>
              <w:spacing w:line="480" w:lineRule="exact"/>
              <w:rPr>
                <w:rFonts w:hint="eastAsia" w:ascii="宋体" w:hAnsi="宋体" w:cs="宋体"/>
                <w:sz w:val="24"/>
              </w:rPr>
            </w:pPr>
          </w:p>
        </w:tc>
        <w:tc>
          <w:tcPr>
            <w:tcW w:w="1713" w:type="dxa"/>
            <w:tcBorders>
              <w:top w:val="single" w:color="auto" w:sz="4" w:space="0"/>
              <w:left w:val="single" w:color="auto" w:sz="4" w:space="0"/>
              <w:bottom w:val="single" w:color="auto" w:sz="4" w:space="0"/>
              <w:right w:val="single" w:color="auto" w:sz="4" w:space="0"/>
            </w:tcBorders>
            <w:noWrap/>
            <w:vAlign w:val="center"/>
          </w:tcPr>
          <w:p w14:paraId="4CCF5B0F">
            <w:pPr>
              <w:spacing w:line="480" w:lineRule="exact"/>
              <w:jc w:val="center"/>
              <w:rPr>
                <w:rFonts w:hint="eastAsia" w:ascii="宋体" w:hAnsi="宋体" w:cs="宋体"/>
                <w:sz w:val="24"/>
              </w:rPr>
            </w:pPr>
            <w:r>
              <w:rPr>
                <w:rFonts w:hint="eastAsia" w:ascii="宋体" w:hAnsi="宋体" w:cs="宋体"/>
              </w:rPr>
              <w:t>传  真</w:t>
            </w:r>
          </w:p>
        </w:tc>
        <w:tc>
          <w:tcPr>
            <w:tcW w:w="2340" w:type="dxa"/>
            <w:gridSpan w:val="2"/>
            <w:tcBorders>
              <w:top w:val="single" w:color="auto" w:sz="4" w:space="0"/>
              <w:left w:val="single" w:color="auto" w:sz="4" w:space="0"/>
              <w:bottom w:val="single" w:color="auto" w:sz="4" w:space="0"/>
              <w:right w:val="single" w:color="auto" w:sz="4" w:space="0"/>
            </w:tcBorders>
            <w:noWrap/>
            <w:vAlign w:val="center"/>
          </w:tcPr>
          <w:p w14:paraId="674F1056">
            <w:pPr>
              <w:spacing w:line="480" w:lineRule="exact"/>
              <w:rPr>
                <w:rFonts w:hint="eastAsia" w:ascii="宋体" w:hAnsi="宋体" w:cs="宋体"/>
                <w:sz w:val="24"/>
              </w:rPr>
            </w:pPr>
          </w:p>
        </w:tc>
      </w:tr>
      <w:tr w14:paraId="27A5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750A0931">
            <w:pPr>
              <w:spacing w:line="480" w:lineRule="exact"/>
              <w:jc w:val="center"/>
              <w:rPr>
                <w:rFonts w:hint="eastAsia" w:ascii="宋体" w:hAnsi="宋体" w:cs="宋体"/>
                <w:sz w:val="24"/>
              </w:rPr>
            </w:pPr>
            <w:r>
              <w:rPr>
                <w:rFonts w:hint="eastAsia" w:ascii="宋体" w:hAnsi="宋体" w:cs="宋体"/>
              </w:rPr>
              <w:t>邮  箱</w:t>
            </w:r>
          </w:p>
        </w:tc>
        <w:tc>
          <w:tcPr>
            <w:tcW w:w="2759" w:type="dxa"/>
            <w:gridSpan w:val="2"/>
            <w:tcBorders>
              <w:top w:val="single" w:color="auto" w:sz="4" w:space="0"/>
              <w:left w:val="single" w:color="auto" w:sz="4" w:space="0"/>
              <w:bottom w:val="single" w:color="auto" w:sz="4" w:space="0"/>
              <w:right w:val="single" w:color="auto" w:sz="4" w:space="0"/>
            </w:tcBorders>
            <w:noWrap/>
            <w:vAlign w:val="center"/>
          </w:tcPr>
          <w:p w14:paraId="27584E1D">
            <w:pPr>
              <w:spacing w:line="480" w:lineRule="exact"/>
              <w:rPr>
                <w:rFonts w:hint="eastAsia" w:ascii="宋体" w:hAnsi="宋体" w:cs="宋体"/>
                <w:sz w:val="24"/>
              </w:rPr>
            </w:pPr>
          </w:p>
        </w:tc>
        <w:tc>
          <w:tcPr>
            <w:tcW w:w="1713" w:type="dxa"/>
            <w:tcBorders>
              <w:top w:val="single" w:color="auto" w:sz="4" w:space="0"/>
              <w:left w:val="single" w:color="auto" w:sz="4" w:space="0"/>
              <w:bottom w:val="single" w:color="auto" w:sz="4" w:space="0"/>
              <w:right w:val="single" w:color="auto" w:sz="4" w:space="0"/>
            </w:tcBorders>
            <w:noWrap/>
            <w:vAlign w:val="center"/>
          </w:tcPr>
          <w:p w14:paraId="5446A4C4">
            <w:pPr>
              <w:spacing w:line="480" w:lineRule="exact"/>
              <w:jc w:val="center"/>
              <w:rPr>
                <w:rFonts w:hint="eastAsia" w:ascii="宋体" w:hAnsi="宋体" w:cs="宋体"/>
                <w:sz w:val="24"/>
              </w:rPr>
            </w:pPr>
            <w:r>
              <w:rPr>
                <w:rFonts w:hint="eastAsia" w:ascii="宋体" w:hAnsi="宋体" w:cs="宋体"/>
              </w:rPr>
              <w:t>邮  编</w:t>
            </w:r>
          </w:p>
        </w:tc>
        <w:tc>
          <w:tcPr>
            <w:tcW w:w="2340" w:type="dxa"/>
            <w:gridSpan w:val="2"/>
            <w:tcBorders>
              <w:top w:val="single" w:color="auto" w:sz="4" w:space="0"/>
              <w:left w:val="single" w:color="auto" w:sz="4" w:space="0"/>
              <w:bottom w:val="single" w:color="auto" w:sz="4" w:space="0"/>
              <w:right w:val="single" w:color="auto" w:sz="4" w:space="0"/>
            </w:tcBorders>
            <w:noWrap/>
            <w:vAlign w:val="center"/>
          </w:tcPr>
          <w:p w14:paraId="00AB033C">
            <w:pPr>
              <w:spacing w:line="480" w:lineRule="exact"/>
              <w:rPr>
                <w:rFonts w:hint="eastAsia" w:ascii="宋体" w:hAnsi="宋体" w:cs="宋体"/>
                <w:sz w:val="24"/>
              </w:rPr>
            </w:pPr>
          </w:p>
        </w:tc>
      </w:tr>
      <w:tr w14:paraId="554B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2088" w:type="dxa"/>
            <w:tcBorders>
              <w:top w:val="single" w:color="auto" w:sz="4" w:space="0"/>
              <w:left w:val="single" w:color="auto" w:sz="4" w:space="0"/>
              <w:bottom w:val="single" w:color="auto" w:sz="4" w:space="0"/>
              <w:right w:val="single" w:color="auto" w:sz="4" w:space="0"/>
            </w:tcBorders>
            <w:noWrap/>
            <w:vAlign w:val="center"/>
          </w:tcPr>
          <w:p w14:paraId="2933E45C">
            <w:pPr>
              <w:spacing w:line="480" w:lineRule="exact"/>
              <w:jc w:val="center"/>
              <w:rPr>
                <w:rFonts w:hint="eastAsia" w:ascii="宋体" w:hAnsi="宋体" w:cs="宋体"/>
                <w:sz w:val="24"/>
              </w:rPr>
            </w:pPr>
            <w:r>
              <w:rPr>
                <w:rFonts w:hint="eastAsia" w:ascii="宋体" w:hAnsi="宋体" w:cs="宋体"/>
              </w:rPr>
              <w:t>联系人</w:t>
            </w:r>
          </w:p>
        </w:tc>
        <w:tc>
          <w:tcPr>
            <w:tcW w:w="2759" w:type="dxa"/>
            <w:gridSpan w:val="2"/>
            <w:tcBorders>
              <w:top w:val="single" w:color="auto" w:sz="4" w:space="0"/>
              <w:left w:val="single" w:color="auto" w:sz="4" w:space="0"/>
              <w:bottom w:val="single" w:color="auto" w:sz="4" w:space="0"/>
              <w:right w:val="single" w:color="auto" w:sz="4" w:space="0"/>
            </w:tcBorders>
            <w:noWrap/>
            <w:vAlign w:val="center"/>
          </w:tcPr>
          <w:p w14:paraId="71D43B82">
            <w:pPr>
              <w:spacing w:line="480" w:lineRule="exact"/>
              <w:rPr>
                <w:rFonts w:hint="eastAsia" w:ascii="宋体" w:hAnsi="宋体" w:cs="宋体"/>
                <w:sz w:val="24"/>
              </w:rPr>
            </w:pPr>
          </w:p>
        </w:tc>
        <w:tc>
          <w:tcPr>
            <w:tcW w:w="1713" w:type="dxa"/>
            <w:tcBorders>
              <w:top w:val="single" w:color="auto" w:sz="4" w:space="0"/>
              <w:left w:val="single" w:color="auto" w:sz="4" w:space="0"/>
              <w:bottom w:val="single" w:color="auto" w:sz="4" w:space="0"/>
              <w:right w:val="single" w:color="auto" w:sz="4" w:space="0"/>
            </w:tcBorders>
            <w:noWrap/>
            <w:vAlign w:val="center"/>
          </w:tcPr>
          <w:p w14:paraId="2FFCD538">
            <w:pPr>
              <w:spacing w:line="480" w:lineRule="exact"/>
              <w:jc w:val="center"/>
              <w:rPr>
                <w:rFonts w:hint="eastAsia" w:ascii="宋体" w:hAnsi="宋体" w:cs="宋体"/>
                <w:sz w:val="24"/>
              </w:rPr>
            </w:pPr>
            <w:r>
              <w:rPr>
                <w:rFonts w:hint="eastAsia" w:ascii="宋体" w:hAnsi="宋体" w:cs="宋体"/>
              </w:rPr>
              <w:t>联系方式</w:t>
            </w:r>
          </w:p>
        </w:tc>
        <w:tc>
          <w:tcPr>
            <w:tcW w:w="2340" w:type="dxa"/>
            <w:gridSpan w:val="2"/>
            <w:tcBorders>
              <w:top w:val="single" w:color="auto" w:sz="4" w:space="0"/>
              <w:left w:val="single" w:color="auto" w:sz="4" w:space="0"/>
              <w:bottom w:val="single" w:color="auto" w:sz="4" w:space="0"/>
              <w:right w:val="single" w:color="auto" w:sz="4" w:space="0"/>
            </w:tcBorders>
            <w:noWrap/>
            <w:vAlign w:val="center"/>
          </w:tcPr>
          <w:p w14:paraId="54180305">
            <w:pPr>
              <w:spacing w:line="480" w:lineRule="exact"/>
              <w:rPr>
                <w:rFonts w:hint="eastAsia" w:ascii="宋体" w:hAnsi="宋体" w:cs="宋体"/>
                <w:sz w:val="24"/>
              </w:rPr>
            </w:pPr>
          </w:p>
        </w:tc>
      </w:tr>
    </w:tbl>
    <w:p w14:paraId="0E4AD914">
      <w:pPr>
        <w:spacing w:line="360" w:lineRule="auto"/>
        <w:ind w:firstLine="840" w:firstLineChars="300"/>
        <w:jc w:val="left"/>
        <w:rPr>
          <w:rFonts w:hint="eastAsia" w:ascii="宋体" w:hAnsi="宋体" w:eastAsia="宋体" w:cs="宋体"/>
          <w:i/>
          <w:iCs/>
          <w:sz w:val="28"/>
          <w:szCs w:val="28"/>
          <w:u w:val="single"/>
        </w:rPr>
      </w:pPr>
    </w:p>
    <w:p w14:paraId="7EF7C1E9">
      <w:pPr>
        <w:spacing w:line="360" w:lineRule="auto"/>
        <w:ind w:firstLine="840" w:firstLineChars="300"/>
        <w:jc w:val="left"/>
        <w:rPr>
          <w:rFonts w:hint="eastAsia" w:ascii="宋体" w:hAnsi="宋体" w:eastAsia="宋体" w:cs="宋体"/>
          <w:i/>
          <w:iCs/>
          <w:sz w:val="28"/>
          <w:szCs w:val="28"/>
          <w:u w:val="single"/>
        </w:rPr>
      </w:pPr>
    </w:p>
    <w:p w14:paraId="50A0ECA7">
      <w:pPr>
        <w:pStyle w:val="22"/>
        <w:spacing w:line="600" w:lineRule="exact"/>
        <w:ind w:left="6240" w:hanging="6240" w:hangingChars="2600"/>
        <w:jc w:val="both"/>
        <w:rPr>
          <w:rFonts w:hint="eastAsia" w:ascii="宋体" w:hAnsi="宋体" w:eastAsia="宋体" w:cs="宋体"/>
          <w:bCs w:val="0"/>
          <w:color w:val="auto"/>
          <w:kern w:val="2"/>
          <w:sz w:val="24"/>
          <w:szCs w:val="24"/>
        </w:rPr>
      </w:pPr>
      <w:r>
        <w:rPr>
          <w:rFonts w:hint="eastAsia" w:ascii="宋体" w:hAnsi="宋体" w:eastAsia="宋体" w:cs="宋体"/>
          <w:bCs w:val="0"/>
          <w:color w:val="auto"/>
          <w:kern w:val="2"/>
          <w:sz w:val="24"/>
          <w:szCs w:val="24"/>
        </w:rPr>
        <w:t>公司名称（盖章）：</w:t>
      </w:r>
    </w:p>
    <w:p w14:paraId="00B4C729">
      <w:pPr>
        <w:pStyle w:val="22"/>
        <w:spacing w:line="600" w:lineRule="exact"/>
        <w:jc w:val="both"/>
        <w:rPr>
          <w:rFonts w:hint="eastAsia" w:ascii="宋体" w:hAnsi="宋体" w:eastAsia="宋体" w:cs="宋体"/>
          <w:bCs w:val="0"/>
          <w:color w:val="auto"/>
          <w:kern w:val="2"/>
          <w:sz w:val="24"/>
          <w:szCs w:val="24"/>
        </w:rPr>
      </w:pPr>
      <w:r>
        <w:rPr>
          <w:rFonts w:hint="eastAsia" w:ascii="宋体" w:hAnsi="宋体" w:eastAsia="宋体" w:cs="宋体"/>
          <w:bCs w:val="0"/>
          <w:color w:val="auto"/>
          <w:kern w:val="2"/>
          <w:sz w:val="24"/>
          <w:szCs w:val="24"/>
        </w:rPr>
        <w:t>联系人姓名：</w:t>
      </w:r>
    </w:p>
    <w:p w14:paraId="467EB067">
      <w:pPr>
        <w:pStyle w:val="22"/>
        <w:spacing w:line="600" w:lineRule="exact"/>
        <w:jc w:val="both"/>
        <w:rPr>
          <w:rFonts w:hint="eastAsia" w:ascii="宋体" w:hAnsi="宋体" w:eastAsia="宋体" w:cs="宋体"/>
          <w:bCs w:val="0"/>
          <w:color w:val="auto"/>
          <w:kern w:val="2"/>
          <w:sz w:val="24"/>
          <w:szCs w:val="24"/>
          <w:u w:val="single"/>
        </w:rPr>
      </w:pPr>
      <w:r>
        <w:rPr>
          <w:rFonts w:hint="eastAsia" w:ascii="宋体" w:hAnsi="宋体" w:eastAsia="宋体" w:cs="宋体"/>
          <w:bCs w:val="0"/>
          <w:color w:val="auto"/>
          <w:kern w:val="2"/>
          <w:sz w:val="24"/>
          <w:szCs w:val="24"/>
        </w:rPr>
        <w:t>联系人电话：</w:t>
      </w:r>
    </w:p>
    <w:p w14:paraId="0606B718">
      <w:pPr>
        <w:pStyle w:val="22"/>
        <w:spacing w:line="600" w:lineRule="exact"/>
        <w:jc w:val="both"/>
        <w:rPr>
          <w:rFonts w:hint="eastAsia" w:ascii="宋体" w:hAnsi="宋体" w:eastAsia="宋体" w:cs="宋体"/>
          <w:bCs w:val="0"/>
          <w:color w:val="auto"/>
          <w:kern w:val="2"/>
          <w:sz w:val="24"/>
          <w:szCs w:val="24"/>
          <w:u w:val="single"/>
        </w:rPr>
      </w:pPr>
      <w:r>
        <w:rPr>
          <w:rFonts w:hint="eastAsia" w:ascii="宋体" w:hAnsi="宋体" w:eastAsia="宋体" w:cs="宋体"/>
          <w:bCs w:val="0"/>
          <w:color w:val="auto"/>
          <w:kern w:val="2"/>
          <w:sz w:val="24"/>
          <w:szCs w:val="24"/>
        </w:rPr>
        <w:t>联系人邮箱：</w:t>
      </w:r>
    </w:p>
    <w:p w14:paraId="03FEE545">
      <w:pPr>
        <w:spacing w:line="600" w:lineRule="exact"/>
        <w:rPr>
          <w:rFonts w:hint="eastAsia" w:ascii="宋体" w:hAnsi="宋体" w:eastAsia="宋体" w:cs="宋体"/>
          <w:sz w:val="24"/>
        </w:rPr>
      </w:pPr>
      <w:r>
        <w:rPr>
          <w:rFonts w:hint="eastAsia" w:ascii="宋体" w:hAnsi="宋体" w:eastAsia="宋体" w:cs="宋体"/>
          <w:sz w:val="24"/>
        </w:rPr>
        <w:t xml:space="preserve">日期： </w:t>
      </w:r>
    </w:p>
    <w:p w14:paraId="5BBA1881">
      <w:pPr>
        <w:spacing w:line="520" w:lineRule="exact"/>
        <w:rPr>
          <w:rFonts w:hint="eastAsia" w:ascii="宋体" w:hAnsi="宋体" w:eastAsia="宋体" w:cs="宋体"/>
          <w:kern w:val="0"/>
          <w:sz w:val="24"/>
          <w:shd w:val="clear" w:color="auto" w:fill="FFFFFF"/>
        </w:rPr>
      </w:pPr>
    </w:p>
    <w:p w14:paraId="36339E85">
      <w:pPr>
        <w:spacing w:line="520" w:lineRule="exact"/>
        <w:rPr>
          <w:rFonts w:hint="eastAsia" w:ascii="宋体" w:hAnsi="宋体" w:eastAsia="宋体" w:cs="宋体"/>
          <w:kern w:val="0"/>
          <w:sz w:val="24"/>
          <w:shd w:val="clear" w:color="auto" w:fill="FFFFFF"/>
        </w:rPr>
      </w:pPr>
    </w:p>
    <w:p w14:paraId="152FD30C">
      <w:pPr>
        <w:widowControl/>
        <w:spacing w:line="560" w:lineRule="exact"/>
        <w:ind w:firstLine="482" w:firstLineChars="200"/>
        <w:jc w:val="left"/>
        <w:rPr>
          <w:rFonts w:hint="eastAsia" w:ascii="宋体" w:hAnsi="宋体" w:eastAsia="宋体" w:cs="宋体"/>
          <w:b/>
          <w:bCs/>
          <w:kern w:val="0"/>
          <w:sz w:val="24"/>
          <w:shd w:val="clear" w:color="auto" w:fill="FFFFFF"/>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16EE7EB">
      <w:pPr>
        <w:widowControl/>
        <w:spacing w:line="560" w:lineRule="exact"/>
        <w:ind w:firstLine="482" w:firstLineChars="200"/>
        <w:jc w:val="left"/>
        <w:rPr>
          <w:rFonts w:hint="eastAsia" w:ascii="宋体" w:hAnsi="宋体" w:eastAsia="宋体" w:cs="宋体"/>
          <w:b/>
          <w:bCs/>
          <w:kern w:val="0"/>
          <w:sz w:val="24"/>
          <w:shd w:val="clear" w:color="auto" w:fill="FFFFFF"/>
        </w:rPr>
      </w:pPr>
      <w:r>
        <w:rPr>
          <w:rFonts w:hint="eastAsia" w:ascii="宋体" w:hAnsi="宋体" w:eastAsia="宋体" w:cs="宋体"/>
          <w:b/>
          <w:bCs/>
          <w:kern w:val="0"/>
          <w:sz w:val="24"/>
          <w:shd w:val="clear" w:color="auto" w:fill="FFFFFF"/>
        </w:rPr>
        <w:t>附件5：</w:t>
      </w:r>
    </w:p>
    <w:p w14:paraId="61AA9C17">
      <w:pPr>
        <w:widowControl/>
        <w:spacing w:line="560" w:lineRule="exact"/>
        <w:ind w:firstLine="640" w:firstLineChars="200"/>
        <w:jc w:val="center"/>
        <w:rPr>
          <w:rFonts w:hint="eastAsia" w:ascii="宋体" w:hAnsi="宋体" w:eastAsia="宋体" w:cs="宋体"/>
          <w:kern w:val="0"/>
          <w:sz w:val="32"/>
          <w:szCs w:val="32"/>
        </w:rPr>
      </w:pPr>
      <w:r>
        <w:rPr>
          <w:rFonts w:hint="eastAsia" w:ascii="宋体" w:hAnsi="宋体" w:eastAsia="宋体" w:cs="宋体"/>
          <w:kern w:val="0"/>
          <w:sz w:val="32"/>
          <w:szCs w:val="32"/>
        </w:rPr>
        <w:t>需求调查回复函</w:t>
      </w:r>
    </w:p>
    <w:p w14:paraId="71C07972">
      <w:pPr>
        <w:pStyle w:val="7"/>
        <w:rPr>
          <w:rFonts w:hint="eastAsia" w:ascii="宋体" w:hAnsi="宋体" w:eastAsia="宋体" w:cs="宋体"/>
          <w:lang w:val="en-US"/>
        </w:rPr>
      </w:pPr>
    </w:p>
    <w:p w14:paraId="36F26189">
      <w:pPr>
        <w:pStyle w:val="7"/>
        <w:rPr>
          <w:rFonts w:hint="eastAsia" w:ascii="宋体" w:hAnsi="宋体" w:eastAsia="宋体" w:cs="宋体"/>
        </w:rPr>
      </w:pPr>
    </w:p>
    <w:p w14:paraId="0A143EF7">
      <w:pPr>
        <w:widowControl/>
        <w:spacing w:after="156" w:afterLines="50" w:line="560" w:lineRule="exact"/>
        <w:jc w:val="left"/>
        <w:rPr>
          <w:rFonts w:hint="eastAsia" w:ascii="宋体" w:hAnsi="宋体" w:eastAsia="宋体" w:cs="宋体"/>
          <w:sz w:val="32"/>
          <w:szCs w:val="32"/>
        </w:rPr>
      </w:pPr>
      <w:r>
        <w:rPr>
          <w:rFonts w:hint="eastAsia" w:ascii="宋体" w:hAnsi="宋体" w:eastAsia="宋体" w:cs="宋体"/>
          <w:kern w:val="0"/>
          <w:sz w:val="32"/>
          <w:szCs w:val="32"/>
          <w:u w:val="single"/>
        </w:rPr>
        <w:t>广西中医药大学</w:t>
      </w:r>
      <w:r>
        <w:rPr>
          <w:rFonts w:hint="eastAsia" w:ascii="宋体" w:hAnsi="宋体" w:eastAsia="宋体" w:cs="宋体"/>
          <w:kern w:val="0"/>
          <w:sz w:val="32"/>
          <w:szCs w:val="32"/>
        </w:rPr>
        <w:t>：</w:t>
      </w:r>
    </w:p>
    <w:p w14:paraId="52A54234">
      <w:pPr>
        <w:widowControl/>
        <w:spacing w:line="560" w:lineRule="exact"/>
        <w:ind w:firstLine="640" w:firstLineChars="200"/>
        <w:jc w:val="left"/>
        <w:rPr>
          <w:rFonts w:hint="eastAsia" w:ascii="宋体" w:hAnsi="宋体" w:eastAsia="宋体" w:cs="宋体"/>
          <w:kern w:val="0"/>
          <w:sz w:val="32"/>
          <w:szCs w:val="32"/>
        </w:rPr>
      </w:pPr>
      <w:r>
        <w:rPr>
          <w:rFonts w:hint="eastAsia" w:ascii="宋体" w:hAnsi="宋体" w:eastAsia="宋体" w:cs="宋体"/>
          <w:kern w:val="0"/>
          <w:sz w:val="32"/>
          <w:szCs w:val="32"/>
        </w:rPr>
        <w:t>根据贵单位发布的“广西中医药大学智慧后勤管理平台（二期）项目需求市场调研公告”，我公司符合公告规定的资格条件，经我公司研究决定，我公司愿意参与该项目的需求调查，我公司承诺在本次调查中无其他不符合法律法规的行为。</w:t>
      </w:r>
    </w:p>
    <w:p w14:paraId="7DCA37F1">
      <w:pPr>
        <w:pStyle w:val="7"/>
        <w:rPr>
          <w:rFonts w:hint="eastAsia" w:ascii="宋体" w:hAnsi="宋体" w:eastAsia="宋体" w:cs="宋体"/>
        </w:rPr>
      </w:pPr>
    </w:p>
    <w:p w14:paraId="7C87F3E7">
      <w:pPr>
        <w:widowControl/>
        <w:spacing w:line="560" w:lineRule="exact"/>
        <w:ind w:firstLine="640" w:firstLineChars="200"/>
        <w:jc w:val="left"/>
        <w:rPr>
          <w:rFonts w:hint="eastAsia" w:ascii="宋体" w:hAnsi="宋体" w:eastAsia="宋体" w:cs="宋体"/>
          <w:kern w:val="0"/>
          <w:sz w:val="32"/>
          <w:szCs w:val="32"/>
        </w:rPr>
      </w:pPr>
      <w:r>
        <w:rPr>
          <w:rFonts w:hint="eastAsia" w:ascii="宋体" w:hAnsi="宋体" w:eastAsia="宋体" w:cs="宋体"/>
          <w:kern w:val="0"/>
          <w:sz w:val="32"/>
          <w:szCs w:val="32"/>
        </w:rPr>
        <w:t>附：公司《营业执照》及相关资质证书复印件</w:t>
      </w:r>
    </w:p>
    <w:p w14:paraId="1998D0D9">
      <w:pPr>
        <w:widowControl/>
        <w:spacing w:line="560" w:lineRule="exact"/>
        <w:ind w:firstLine="640" w:firstLineChars="200"/>
        <w:jc w:val="left"/>
        <w:rPr>
          <w:rFonts w:hint="eastAsia" w:ascii="宋体" w:hAnsi="宋体" w:eastAsia="宋体" w:cs="宋体"/>
          <w:kern w:val="0"/>
          <w:sz w:val="32"/>
          <w:szCs w:val="32"/>
        </w:rPr>
      </w:pPr>
    </w:p>
    <w:p w14:paraId="6DA04957">
      <w:pPr>
        <w:widowControl/>
        <w:spacing w:line="560" w:lineRule="exact"/>
        <w:ind w:firstLine="640" w:firstLineChars="200"/>
        <w:jc w:val="left"/>
        <w:rPr>
          <w:rFonts w:hint="eastAsia" w:ascii="宋体" w:hAnsi="宋体" w:eastAsia="宋体" w:cs="宋体"/>
          <w:kern w:val="0"/>
          <w:sz w:val="32"/>
          <w:szCs w:val="32"/>
        </w:rPr>
      </w:pPr>
    </w:p>
    <w:p w14:paraId="1BFD3F67">
      <w:pPr>
        <w:widowControl/>
        <w:spacing w:line="560" w:lineRule="exact"/>
        <w:ind w:firstLine="640" w:firstLineChars="200"/>
        <w:jc w:val="left"/>
        <w:rPr>
          <w:rFonts w:hint="eastAsia" w:ascii="宋体" w:hAnsi="宋体" w:eastAsia="宋体" w:cs="宋体"/>
          <w:kern w:val="0"/>
          <w:sz w:val="32"/>
          <w:szCs w:val="32"/>
        </w:rPr>
      </w:pPr>
    </w:p>
    <w:p w14:paraId="42292375">
      <w:pPr>
        <w:widowControl/>
        <w:spacing w:line="560" w:lineRule="exact"/>
        <w:ind w:firstLine="640" w:firstLineChars="200"/>
        <w:jc w:val="left"/>
        <w:rPr>
          <w:rFonts w:hint="eastAsia" w:ascii="宋体" w:hAnsi="宋体" w:eastAsia="宋体" w:cs="宋体"/>
          <w:kern w:val="0"/>
          <w:sz w:val="32"/>
          <w:szCs w:val="32"/>
        </w:rPr>
      </w:pPr>
    </w:p>
    <w:p w14:paraId="4D8C2B0B">
      <w:pPr>
        <w:widowControl/>
        <w:spacing w:line="560" w:lineRule="exact"/>
        <w:ind w:firstLine="640" w:firstLineChars="200"/>
        <w:jc w:val="left"/>
        <w:rPr>
          <w:rFonts w:hint="eastAsia" w:ascii="宋体" w:hAnsi="宋体" w:eastAsia="宋体" w:cs="宋体"/>
          <w:kern w:val="0"/>
          <w:sz w:val="32"/>
          <w:szCs w:val="32"/>
        </w:rPr>
      </w:pPr>
    </w:p>
    <w:p w14:paraId="5BE2B2A4">
      <w:pPr>
        <w:pStyle w:val="22"/>
        <w:spacing w:line="600" w:lineRule="exact"/>
        <w:ind w:left="6240" w:hanging="6240" w:hangingChars="2600"/>
        <w:jc w:val="both"/>
        <w:rPr>
          <w:rFonts w:hint="eastAsia" w:ascii="宋体" w:hAnsi="宋体" w:eastAsia="宋体" w:cs="宋体"/>
          <w:bCs w:val="0"/>
          <w:color w:val="auto"/>
          <w:kern w:val="2"/>
          <w:sz w:val="24"/>
          <w:szCs w:val="24"/>
        </w:rPr>
      </w:pPr>
      <w:r>
        <w:rPr>
          <w:rFonts w:hint="eastAsia" w:ascii="宋体" w:hAnsi="宋体" w:eastAsia="宋体" w:cs="宋体"/>
          <w:bCs w:val="0"/>
          <w:color w:val="auto"/>
          <w:kern w:val="2"/>
          <w:sz w:val="24"/>
          <w:szCs w:val="24"/>
        </w:rPr>
        <w:t>公司名称（盖章）：</w:t>
      </w:r>
    </w:p>
    <w:p w14:paraId="112A729B">
      <w:pPr>
        <w:pStyle w:val="22"/>
        <w:spacing w:line="600" w:lineRule="exact"/>
        <w:jc w:val="both"/>
        <w:rPr>
          <w:rFonts w:hint="eastAsia" w:ascii="宋体" w:hAnsi="宋体" w:eastAsia="宋体" w:cs="宋体"/>
          <w:bCs w:val="0"/>
          <w:color w:val="auto"/>
          <w:kern w:val="2"/>
          <w:sz w:val="24"/>
          <w:szCs w:val="24"/>
        </w:rPr>
      </w:pPr>
      <w:r>
        <w:rPr>
          <w:rFonts w:hint="eastAsia" w:ascii="宋体" w:hAnsi="宋体" w:eastAsia="宋体" w:cs="宋体"/>
          <w:bCs w:val="0"/>
          <w:color w:val="auto"/>
          <w:kern w:val="2"/>
          <w:sz w:val="24"/>
          <w:szCs w:val="24"/>
        </w:rPr>
        <w:t>联系人姓名：</w:t>
      </w:r>
    </w:p>
    <w:p w14:paraId="79902F1D">
      <w:pPr>
        <w:pStyle w:val="22"/>
        <w:spacing w:line="600" w:lineRule="exact"/>
        <w:jc w:val="both"/>
        <w:rPr>
          <w:rFonts w:hint="eastAsia" w:ascii="宋体" w:hAnsi="宋体" w:eastAsia="宋体" w:cs="宋体"/>
          <w:bCs w:val="0"/>
          <w:color w:val="auto"/>
          <w:kern w:val="2"/>
          <w:sz w:val="24"/>
          <w:szCs w:val="24"/>
          <w:u w:val="single"/>
        </w:rPr>
      </w:pPr>
      <w:r>
        <w:rPr>
          <w:rFonts w:hint="eastAsia" w:ascii="宋体" w:hAnsi="宋体" w:eastAsia="宋体" w:cs="宋体"/>
          <w:bCs w:val="0"/>
          <w:color w:val="auto"/>
          <w:kern w:val="2"/>
          <w:sz w:val="24"/>
          <w:szCs w:val="24"/>
        </w:rPr>
        <w:t>联系人电话：</w:t>
      </w:r>
    </w:p>
    <w:p w14:paraId="6A096B7C">
      <w:pPr>
        <w:pStyle w:val="22"/>
        <w:spacing w:line="600" w:lineRule="exact"/>
        <w:jc w:val="both"/>
        <w:rPr>
          <w:rFonts w:hint="eastAsia" w:ascii="宋体" w:hAnsi="宋体" w:eastAsia="宋体" w:cs="宋体"/>
          <w:bCs w:val="0"/>
          <w:color w:val="auto"/>
          <w:kern w:val="2"/>
          <w:sz w:val="24"/>
          <w:szCs w:val="24"/>
          <w:u w:val="single"/>
        </w:rPr>
      </w:pPr>
      <w:r>
        <w:rPr>
          <w:rFonts w:hint="eastAsia" w:ascii="宋体" w:hAnsi="宋体" w:eastAsia="宋体" w:cs="宋体"/>
          <w:bCs w:val="0"/>
          <w:color w:val="auto"/>
          <w:kern w:val="2"/>
          <w:sz w:val="24"/>
          <w:szCs w:val="24"/>
        </w:rPr>
        <w:t>联系人邮箱：</w:t>
      </w:r>
    </w:p>
    <w:p w14:paraId="34263EE9">
      <w:pPr>
        <w:spacing w:line="600" w:lineRule="exact"/>
        <w:rPr>
          <w:rFonts w:hint="eastAsia" w:ascii="宋体" w:hAnsi="宋体" w:eastAsia="宋体" w:cs="宋体"/>
          <w:sz w:val="24"/>
        </w:rPr>
      </w:pPr>
      <w:r>
        <w:rPr>
          <w:rFonts w:hint="eastAsia" w:ascii="宋体" w:hAnsi="宋体" w:eastAsia="宋体" w:cs="宋体"/>
          <w:sz w:val="24"/>
        </w:rPr>
        <w:t xml:space="preserve">日期： </w:t>
      </w:r>
    </w:p>
    <w:p w14:paraId="54F46AB4">
      <w:pPr>
        <w:rPr>
          <w:rFonts w:hint="eastAsia" w:ascii="宋体" w:hAnsi="宋体" w:eastAsia="宋体" w:cs="宋体"/>
        </w:rPr>
      </w:pPr>
    </w:p>
    <w:p w14:paraId="44C35805">
      <w:pPr>
        <w:spacing w:line="520" w:lineRule="exact"/>
        <w:rPr>
          <w:rFonts w:hint="eastAsia" w:ascii="宋体" w:hAnsi="宋体" w:eastAsia="宋体" w:cs="宋体"/>
          <w:b/>
          <w:bCs/>
          <w:kern w:val="0"/>
          <w:sz w:val="24"/>
          <w:shd w:val="clear" w:color="auto" w:fill="FFFFFF"/>
        </w:rPr>
      </w:pPr>
    </w:p>
    <w:p w14:paraId="230898DD">
      <w:pPr>
        <w:spacing w:line="520" w:lineRule="exact"/>
        <w:rPr>
          <w:rFonts w:hint="eastAsia" w:ascii="宋体" w:hAnsi="宋体" w:eastAsia="宋体" w:cs="宋体"/>
          <w:kern w:val="0"/>
          <w:sz w:val="24"/>
          <w:shd w:val="clear" w:color="auto" w:fill="FFFFFF"/>
        </w:rPr>
      </w:pPr>
    </w:p>
    <w:p w14:paraId="4E9F3B5C">
      <w:pPr>
        <w:widowControl/>
        <w:jc w:val="left"/>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F6FAC22-ED7E-470A-AE64-7CADA37A903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2" w:fontKey="{75EB9BF7-8627-4B45-ADE7-EF4698DEB39C}"/>
  </w:font>
  <w:font w:name="仿宋">
    <w:panose1 w:val="02010609060101010101"/>
    <w:charset w:val="86"/>
    <w:family w:val="modern"/>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3" w:fontKey="{7A75C835-4E9B-4406-BDF5-4B4794EEE24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B6C00">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4EEEDE">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14EEEDE">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93A31F"/>
    <w:multiLevelType w:val="multilevel"/>
    <w:tmpl w:val="E893A31F"/>
    <w:lvl w:ilvl="0" w:tentative="0">
      <w:start w:val="1"/>
      <w:numFmt w:val="decimal"/>
      <w:pStyle w:val="2"/>
      <w:lvlText w:val="%1."/>
      <w:lvlJc w:val="left"/>
      <w:pPr>
        <w:ind w:left="432" w:hanging="432"/>
      </w:pPr>
      <w:rPr>
        <w:rFonts w:hint="default" w:ascii="微软雅黑" w:hAnsi="微软雅黑" w:eastAsia="微软雅黑" w:cs="微软雅黑"/>
      </w:rPr>
    </w:lvl>
    <w:lvl w:ilvl="1" w:tentative="0">
      <w:start w:val="1"/>
      <w:numFmt w:val="decimal"/>
      <w:pStyle w:val="3"/>
      <w:lvlText w:val="%1.%2."/>
      <w:lvlJc w:val="left"/>
      <w:pPr>
        <w:ind w:left="575" w:hanging="575"/>
      </w:pPr>
      <w:rPr>
        <w:rFonts w:hint="default"/>
      </w:rPr>
    </w:lvl>
    <w:lvl w:ilvl="2" w:tentative="0">
      <w:start w:val="1"/>
      <w:numFmt w:val="decimal"/>
      <w:lvlText w:val="%1.%2.%3."/>
      <w:lvlJc w:val="left"/>
      <w:pPr>
        <w:ind w:left="720" w:hanging="720"/>
      </w:pPr>
      <w:rPr>
        <w:rFonts w:hint="default" w:ascii="微软雅黑" w:hAnsi="微软雅黑" w:eastAsia="微软雅黑" w:cs="微软雅黑"/>
      </w:rPr>
    </w:lvl>
    <w:lvl w:ilvl="3" w:tentative="0">
      <w:start w:val="1"/>
      <w:numFmt w:val="decimal"/>
      <w:pStyle w:val="4"/>
      <w:lvlText w:val="%1.%2.%3.%4."/>
      <w:lvlJc w:val="left"/>
      <w:pPr>
        <w:ind w:left="864" w:hanging="864"/>
      </w:pPr>
      <w:rPr>
        <w:rFonts w:hint="default"/>
        <w:b/>
        <w:bCs/>
        <w:sz w:val="24"/>
        <w:szCs w:val="24"/>
      </w:rPr>
    </w:lvl>
    <w:lvl w:ilvl="4" w:tentative="0">
      <w:start w:val="1"/>
      <w:numFmt w:val="decimal"/>
      <w:pStyle w:val="5"/>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ED1653B7"/>
    <w:multiLevelType w:val="singleLevel"/>
    <w:tmpl w:val="ED1653B7"/>
    <w:lvl w:ilvl="0" w:tentative="0">
      <w:start w:val="1"/>
      <w:numFmt w:val="decimal"/>
      <w:suff w:val="nothing"/>
      <w:lvlText w:val="%1．"/>
      <w:lvlJc w:val="left"/>
      <w:pPr>
        <w:ind w:left="0" w:firstLine="4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E80C4E"/>
    <w:rsid w:val="00011F7F"/>
    <w:rsid w:val="0002775C"/>
    <w:rsid w:val="00095CB9"/>
    <w:rsid w:val="000F4AC7"/>
    <w:rsid w:val="001662CE"/>
    <w:rsid w:val="00214101"/>
    <w:rsid w:val="0025254C"/>
    <w:rsid w:val="002863C0"/>
    <w:rsid w:val="0029160F"/>
    <w:rsid w:val="002F0BA2"/>
    <w:rsid w:val="00304D34"/>
    <w:rsid w:val="00400684"/>
    <w:rsid w:val="00406B5A"/>
    <w:rsid w:val="004646B6"/>
    <w:rsid w:val="00474F8E"/>
    <w:rsid w:val="00481AEC"/>
    <w:rsid w:val="00542A67"/>
    <w:rsid w:val="00555AF1"/>
    <w:rsid w:val="005F7C33"/>
    <w:rsid w:val="00651093"/>
    <w:rsid w:val="00744DEF"/>
    <w:rsid w:val="009049F6"/>
    <w:rsid w:val="0097346B"/>
    <w:rsid w:val="0099051F"/>
    <w:rsid w:val="0099762D"/>
    <w:rsid w:val="00A43A0A"/>
    <w:rsid w:val="00B41D0F"/>
    <w:rsid w:val="00B678A7"/>
    <w:rsid w:val="00C365AF"/>
    <w:rsid w:val="00C576CA"/>
    <w:rsid w:val="00CA76A1"/>
    <w:rsid w:val="00CF08ED"/>
    <w:rsid w:val="00D1141F"/>
    <w:rsid w:val="00D15C1D"/>
    <w:rsid w:val="00DC291E"/>
    <w:rsid w:val="00E579F0"/>
    <w:rsid w:val="00EE012A"/>
    <w:rsid w:val="00F07826"/>
    <w:rsid w:val="00FD4816"/>
    <w:rsid w:val="00FF242D"/>
    <w:rsid w:val="034D4E02"/>
    <w:rsid w:val="05DD08DF"/>
    <w:rsid w:val="128C30FA"/>
    <w:rsid w:val="17221364"/>
    <w:rsid w:val="176C18A3"/>
    <w:rsid w:val="187E0653"/>
    <w:rsid w:val="1B31699C"/>
    <w:rsid w:val="1F405856"/>
    <w:rsid w:val="22737F8A"/>
    <w:rsid w:val="23872422"/>
    <w:rsid w:val="23DC79C2"/>
    <w:rsid w:val="249E4352"/>
    <w:rsid w:val="2A5331EF"/>
    <w:rsid w:val="2BDB6BA0"/>
    <w:rsid w:val="2E557EF9"/>
    <w:rsid w:val="30FA45E6"/>
    <w:rsid w:val="32764ACB"/>
    <w:rsid w:val="3392223A"/>
    <w:rsid w:val="33FC511E"/>
    <w:rsid w:val="35BE5E51"/>
    <w:rsid w:val="39725AE5"/>
    <w:rsid w:val="39C42429"/>
    <w:rsid w:val="3BCA2C73"/>
    <w:rsid w:val="3D3F59F7"/>
    <w:rsid w:val="40512B35"/>
    <w:rsid w:val="41322357"/>
    <w:rsid w:val="416B7C25"/>
    <w:rsid w:val="422B7AE1"/>
    <w:rsid w:val="43727992"/>
    <w:rsid w:val="44446170"/>
    <w:rsid w:val="45E5269D"/>
    <w:rsid w:val="46EA22CD"/>
    <w:rsid w:val="47CA2E12"/>
    <w:rsid w:val="487615BC"/>
    <w:rsid w:val="499F0DB5"/>
    <w:rsid w:val="4A1F2C74"/>
    <w:rsid w:val="4AE66C67"/>
    <w:rsid w:val="4E742643"/>
    <w:rsid w:val="511D59CB"/>
    <w:rsid w:val="51BA69DF"/>
    <w:rsid w:val="52291B63"/>
    <w:rsid w:val="59D41E6F"/>
    <w:rsid w:val="5A134051"/>
    <w:rsid w:val="5B2E747A"/>
    <w:rsid w:val="5C623094"/>
    <w:rsid w:val="5C99743B"/>
    <w:rsid w:val="63B430EA"/>
    <w:rsid w:val="63D759D4"/>
    <w:rsid w:val="65851E98"/>
    <w:rsid w:val="6C54642D"/>
    <w:rsid w:val="6D6B5A45"/>
    <w:rsid w:val="6D7C5FAF"/>
    <w:rsid w:val="728F1AE5"/>
    <w:rsid w:val="750E7E3E"/>
    <w:rsid w:val="753A7A60"/>
    <w:rsid w:val="75607CBA"/>
    <w:rsid w:val="78467DA1"/>
    <w:rsid w:val="78B8795B"/>
    <w:rsid w:val="79F87382"/>
    <w:rsid w:val="7EE80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after="330" w:line="576" w:lineRule="auto"/>
      <w:outlineLvl w:val="0"/>
    </w:pPr>
    <w:rPr>
      <w:rFonts w:eastAsia="微软雅黑" w:cs="Times New Roman"/>
      <w:b/>
      <w:kern w:val="44"/>
      <w:sz w:val="36"/>
    </w:rPr>
  </w:style>
  <w:style w:type="paragraph" w:styleId="3">
    <w:name w:val="heading 2"/>
    <w:basedOn w:val="1"/>
    <w:next w:val="1"/>
    <w:semiHidden/>
    <w:unhideWhenUsed/>
    <w:qFormat/>
    <w:uiPriority w:val="0"/>
    <w:pPr>
      <w:numPr>
        <w:ilvl w:val="1"/>
        <w:numId w:val="1"/>
      </w:numPr>
      <w:spacing w:before="100" w:beforeAutospacing="1" w:after="100" w:afterAutospacing="1"/>
      <w:jc w:val="left"/>
      <w:outlineLvl w:val="1"/>
    </w:pPr>
    <w:rPr>
      <w:rFonts w:hint="eastAsia" w:ascii="宋体" w:hAnsi="宋体" w:eastAsia="微软雅黑" w:cs="Times New Roman"/>
      <w:b/>
      <w:kern w:val="0"/>
      <w:sz w:val="36"/>
      <w:szCs w:val="36"/>
    </w:rPr>
  </w:style>
  <w:style w:type="paragraph" w:styleId="4">
    <w:name w:val="heading 4"/>
    <w:basedOn w:val="1"/>
    <w:next w:val="1"/>
    <w:link w:val="23"/>
    <w:semiHidden/>
    <w:unhideWhenUsed/>
    <w:qFormat/>
    <w:uiPriority w:val="0"/>
    <w:pPr>
      <w:keepNext/>
      <w:keepLines/>
      <w:numPr>
        <w:ilvl w:val="3"/>
        <w:numId w:val="1"/>
      </w:numPr>
      <w:spacing w:before="280" w:after="290" w:line="372" w:lineRule="auto"/>
      <w:outlineLvl w:val="3"/>
    </w:pPr>
    <w:rPr>
      <w:rFonts w:ascii="Arial" w:hAnsi="Arial" w:eastAsia="黑体"/>
      <w:b/>
      <w:sz w:val="28"/>
    </w:rPr>
  </w:style>
  <w:style w:type="paragraph" w:styleId="5">
    <w:name w:val="heading 5"/>
    <w:basedOn w:val="1"/>
    <w:next w:val="1"/>
    <w:semiHidden/>
    <w:unhideWhenUsed/>
    <w:qFormat/>
    <w:uiPriority w:val="0"/>
    <w:pPr>
      <w:keepNext/>
      <w:keepLines/>
      <w:numPr>
        <w:ilvl w:val="4"/>
        <w:numId w:val="1"/>
      </w:numPr>
      <w:spacing w:before="280" w:after="290" w:line="372" w:lineRule="auto"/>
      <w:outlineLvl w:val="4"/>
    </w:pPr>
    <w:rPr>
      <w:b/>
      <w:sz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Body Text"/>
    <w:basedOn w:val="1"/>
    <w:next w:val="1"/>
    <w:unhideWhenUsed/>
    <w:qFormat/>
    <w:uiPriority w:val="99"/>
    <w:pPr>
      <w:spacing w:after="120"/>
    </w:pPr>
    <w:rPr>
      <w:lang w:val="zh-CN"/>
    </w:rPr>
  </w:style>
  <w:style w:type="paragraph" w:styleId="8">
    <w:name w:val="Body Text Indent"/>
    <w:basedOn w:val="1"/>
    <w:qFormat/>
    <w:uiPriority w:val="0"/>
    <w:pPr>
      <w:spacing w:after="120"/>
      <w:ind w:left="420" w:leftChars="200"/>
    </w:pPr>
  </w:style>
  <w:style w:type="paragraph" w:styleId="9">
    <w:name w:val="footer"/>
    <w:basedOn w:val="1"/>
    <w:link w:val="18"/>
    <w:qFormat/>
    <w:uiPriority w:val="0"/>
    <w:pPr>
      <w:tabs>
        <w:tab w:val="center" w:pos="4153"/>
        <w:tab w:val="right" w:pos="8306"/>
      </w:tabs>
      <w:snapToGrid w:val="0"/>
      <w:jc w:val="left"/>
    </w:pPr>
    <w:rPr>
      <w:sz w:val="18"/>
      <w:szCs w:val="18"/>
    </w:rPr>
  </w:style>
  <w:style w:type="paragraph" w:styleId="10">
    <w:name w:val="header"/>
    <w:basedOn w:val="1"/>
    <w:link w:val="17"/>
    <w:qFormat/>
    <w:uiPriority w:val="0"/>
    <w:pPr>
      <w:tabs>
        <w:tab w:val="center" w:pos="4153"/>
        <w:tab w:val="right" w:pos="8306"/>
      </w:tabs>
      <w:snapToGrid w:val="0"/>
      <w:jc w:val="center"/>
    </w:pPr>
    <w:rPr>
      <w:sz w:val="18"/>
      <w:szCs w:val="18"/>
    </w:rPr>
  </w:style>
  <w:style w:type="paragraph" w:styleId="11">
    <w:name w:val="Body Text First Indent"/>
    <w:basedOn w:val="7"/>
    <w:next w:val="1"/>
    <w:qFormat/>
    <w:uiPriority w:val="99"/>
    <w:pPr>
      <w:spacing w:line="500" w:lineRule="exact"/>
      <w:ind w:firstLine="510"/>
    </w:pPr>
    <w:rPr>
      <w:sz w:val="28"/>
      <w:lang w:val="en-US"/>
    </w:rPr>
  </w:style>
  <w:style w:type="paragraph" w:styleId="12">
    <w:name w:val="Body Text First Indent 2"/>
    <w:basedOn w:val="8"/>
    <w:qFormat/>
    <w:uiPriority w:val="0"/>
    <w:pPr>
      <w:ind w:firstLine="420" w:firstLineChars="200"/>
    </w:pPr>
  </w:style>
  <w:style w:type="table" w:styleId="14">
    <w:name w:val="Table Grid"/>
    <w:basedOn w:val="1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6">
    <w:name w:val="Strong"/>
    <w:basedOn w:val="15"/>
    <w:qFormat/>
    <w:uiPriority w:val="0"/>
    <w:rPr>
      <w:b/>
    </w:rPr>
  </w:style>
  <w:style w:type="character" w:customStyle="1" w:styleId="17">
    <w:name w:val="页眉 字符"/>
    <w:basedOn w:val="15"/>
    <w:link w:val="10"/>
    <w:qFormat/>
    <w:uiPriority w:val="0"/>
    <w:rPr>
      <w:rFonts w:asciiTheme="minorHAnsi" w:hAnsiTheme="minorHAnsi" w:eastAsiaTheme="minorEastAsia" w:cstheme="minorBidi"/>
      <w:kern w:val="2"/>
      <w:sz w:val="18"/>
      <w:szCs w:val="18"/>
    </w:rPr>
  </w:style>
  <w:style w:type="character" w:customStyle="1" w:styleId="18">
    <w:name w:val="页脚 字符"/>
    <w:basedOn w:val="15"/>
    <w:link w:val="9"/>
    <w:qFormat/>
    <w:uiPriority w:val="0"/>
    <w:rPr>
      <w:rFonts w:asciiTheme="minorHAnsi" w:hAnsiTheme="minorHAnsi" w:eastAsiaTheme="minorEastAsia" w:cstheme="minorBidi"/>
      <w:kern w:val="2"/>
      <w:sz w:val="18"/>
      <w:szCs w:val="18"/>
    </w:rPr>
  </w:style>
  <w:style w:type="paragraph" w:styleId="19">
    <w:name w:val="List Paragraph"/>
    <w:basedOn w:val="1"/>
    <w:unhideWhenUsed/>
    <w:qFormat/>
    <w:uiPriority w:val="99"/>
    <w:pPr>
      <w:ind w:firstLine="420" w:firstLineChars="200"/>
    </w:pPr>
  </w:style>
  <w:style w:type="paragraph" w:customStyle="1" w:styleId="20">
    <w:name w:val="正文正"/>
    <w:basedOn w:val="1"/>
    <w:qFormat/>
    <w:uiPriority w:val="0"/>
    <w:pPr>
      <w:spacing w:line="560" w:lineRule="exact"/>
      <w:ind w:firstLine="561"/>
    </w:pPr>
    <w:rPr>
      <w:sz w:val="28"/>
      <w:szCs w:val="28"/>
    </w:rPr>
  </w:style>
  <w:style w:type="paragraph" w:customStyle="1" w:styleId="21">
    <w:name w:val="HTML 预设格式1"/>
    <w:basedOn w:val="1"/>
    <w:autoRedefine/>
    <w:qFormat/>
    <w:uiPriority w:val="0"/>
    <w:pPr>
      <w:widowControl/>
      <w:spacing w:line="330" w:lineRule="atLeast"/>
      <w:jc w:val="left"/>
    </w:pPr>
    <w:rPr>
      <w:rFonts w:ascii="Arial" w:hAnsi="Arial"/>
      <w:kern w:val="0"/>
      <w:szCs w:val="21"/>
    </w:rPr>
  </w:style>
  <w:style w:type="paragraph" w:customStyle="1" w:styleId="22">
    <w:name w:val="Default"/>
    <w:autoRedefine/>
    <w:qFormat/>
    <w:uiPriority w:val="0"/>
    <w:pPr>
      <w:widowControl w:val="0"/>
      <w:autoSpaceDE w:val="0"/>
      <w:autoSpaceDN w:val="0"/>
      <w:adjustRightInd w:val="0"/>
      <w:jc w:val="center"/>
    </w:pPr>
    <w:rPr>
      <w:rFonts w:ascii="仿宋_GB2312" w:hAnsi="仿宋" w:eastAsia="仿宋_GB2312" w:cs="黑体"/>
      <w:bCs/>
      <w:color w:val="000000"/>
      <w:sz w:val="36"/>
      <w:szCs w:val="36"/>
      <w:lang w:val="en-US" w:eastAsia="zh-CN" w:bidi="ar-SA"/>
    </w:rPr>
  </w:style>
  <w:style w:type="character" w:customStyle="1" w:styleId="23">
    <w:name w:val="标题 4 字符"/>
    <w:basedOn w:val="15"/>
    <w:link w:val="4"/>
    <w:qFormat/>
    <w:uiPriority w:val="9"/>
    <w:rPr>
      <w:rFonts w:ascii="Arial" w:hAnsi="Arial" w:eastAsia="黑体"/>
      <w:b/>
      <w:sz w:val="28"/>
    </w:rPr>
  </w:style>
  <w:style w:type="paragraph" w:customStyle="1" w:styleId="24">
    <w:name w:val="Table Text"/>
    <w:basedOn w:val="1"/>
    <w:semiHidden/>
    <w:qFormat/>
    <w:uiPriority w:val="0"/>
    <w:rPr>
      <w:rFonts w:ascii="宋体" w:hAnsi="宋体" w:eastAsia="宋体" w:cs="宋体"/>
      <w:sz w:val="20"/>
      <w:szCs w:val="20"/>
    </w:rPr>
  </w:style>
  <w:style w:type="table" w:customStyle="1" w:styleId="25">
    <w:name w:val="Table Normal"/>
    <w:unhideWhenUsed/>
    <w:qFormat/>
    <w:uiPriority w:val="0"/>
    <w:pPr>
      <w:spacing w:after="0" w:line="240" w:lineRule="auto"/>
    </w:pPr>
    <w:rPr>
      <w:rFonts w:ascii="Times New Roman" w:hAnsi="Times New Roman" w:eastAsia="宋体" w:cs="Times New Roman"/>
      <w:kern w:val="0"/>
      <w:sz w:val="20"/>
      <w:szCs w:val="20"/>
      <w14:ligatures w14:val="none"/>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2887</Words>
  <Characters>3241</Characters>
  <Lines>1143</Lines>
  <Paragraphs>489</Paragraphs>
  <TotalTime>10</TotalTime>
  <ScaleCrop>false</ScaleCrop>
  <LinksUpToDate>false</LinksUpToDate>
  <CharactersWithSpaces>3255</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2025-06-26T07:14:00Z</dcterms:created>
  <dc:creator>破北</dc:creator>
  <cp:lastModifiedBy>小阮</cp:lastModifiedBy>
  <dcterms:modified xsi:type="dcterms:W3CDTF">2026-10-29T09:20:49Z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7866B33ADE9348ABA30528CCA140B750_13</vt:lpwstr>
  </property>
  <property fmtid="{D5CDD505-2E9C-101B-9397-08002B2CF9AE}" pid="4" name="KSOTemplateDocerSaveRecord">
    <vt:lpwstr>eyJoZGlkIjoiMjM3OTQyMGE3MDY5N2FkODQ0NjViOGQ4MGNlYzdjMmIiLCJ1c2VySWQiOiI0NDc3NDEzMjQifQ==</vt:lpwstr>
  </property>
</Properties>
</file>