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63CE1">
      <w:pPr>
        <w:spacing w:line="400" w:lineRule="exact"/>
        <w:rPr>
          <w:rFonts w:hint="eastAsia" w:ascii="宋体" w:hAnsi="宋体" w:eastAsiaTheme="minorEastAsia"/>
          <w:b/>
          <w:sz w:val="28"/>
          <w:szCs w:val="28"/>
          <w:lang w:eastAsia="zh-CN"/>
        </w:rPr>
      </w:pPr>
      <w:r>
        <w:rPr>
          <w:rFonts w:hint="eastAsia" w:ascii="宋体" w:hAnsi="宋体"/>
          <w:b/>
          <w:sz w:val="28"/>
          <w:szCs w:val="28"/>
        </w:rPr>
        <w:t>附件</w:t>
      </w:r>
      <w:r>
        <w:rPr>
          <w:rFonts w:hint="eastAsia" w:ascii="宋体" w:hAnsi="宋体"/>
          <w:b/>
          <w:sz w:val="28"/>
          <w:szCs w:val="28"/>
          <w:lang w:val="en-US" w:eastAsia="zh-CN"/>
        </w:rPr>
        <w:t>1</w:t>
      </w:r>
      <w:bookmarkStart w:id="0" w:name="_GoBack"/>
      <w:bookmarkEnd w:id="0"/>
    </w:p>
    <w:p w14:paraId="1AC77220">
      <w:pPr>
        <w:spacing w:line="400" w:lineRule="exact"/>
        <w:jc w:val="center"/>
        <w:rPr>
          <w:rFonts w:hint="eastAsia" w:ascii="宋体" w:hAnsi="宋体" w:eastAsiaTheme="minorEastAsia"/>
          <w:b/>
          <w:sz w:val="28"/>
          <w:szCs w:val="28"/>
          <w:lang w:val="en-US" w:eastAsia="zh-CN"/>
        </w:rPr>
      </w:pPr>
      <w:r>
        <w:rPr>
          <w:rFonts w:hint="eastAsia" w:ascii="宋体" w:hAnsi="宋体"/>
          <w:b/>
          <w:sz w:val="28"/>
          <w:szCs w:val="28"/>
        </w:rPr>
        <w:t>采购需求</w:t>
      </w:r>
      <w:r>
        <w:rPr>
          <w:rFonts w:hint="eastAsia" w:ascii="宋体" w:hAnsi="宋体"/>
          <w:b/>
          <w:sz w:val="28"/>
          <w:szCs w:val="28"/>
          <w:lang w:val="en-US" w:eastAsia="zh-CN"/>
        </w:rPr>
        <w:t>明细</w:t>
      </w:r>
    </w:p>
    <w:p w14:paraId="0D52FA20">
      <w:pPr>
        <w:spacing w:line="400" w:lineRule="exact"/>
        <w:jc w:val="center"/>
        <w:rPr>
          <w:rFonts w:hint="eastAsia" w:ascii="宋体" w:hAnsi="宋体"/>
          <w:b/>
          <w:sz w:val="28"/>
          <w:szCs w:val="28"/>
        </w:rPr>
      </w:pPr>
    </w:p>
    <w:tbl>
      <w:tblPr>
        <w:tblStyle w:val="12"/>
        <w:tblW w:w="92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8"/>
        <w:gridCol w:w="660"/>
        <w:gridCol w:w="821"/>
        <w:gridCol w:w="2063"/>
        <w:gridCol w:w="650"/>
        <w:gridCol w:w="4347"/>
      </w:tblGrid>
      <w:tr w14:paraId="06063C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9209" w:type="dxa"/>
            <w:gridSpan w:val="6"/>
            <w:tcBorders>
              <w:top w:val="single" w:color="auto" w:sz="4" w:space="0"/>
              <w:left w:val="single" w:color="auto" w:sz="4" w:space="0"/>
              <w:bottom w:val="single" w:color="auto" w:sz="4" w:space="0"/>
              <w:right w:val="single" w:color="auto" w:sz="4" w:space="0"/>
            </w:tcBorders>
            <w:vAlign w:val="center"/>
          </w:tcPr>
          <w:p w14:paraId="06063CE3">
            <w:pPr>
              <w:spacing w:line="360" w:lineRule="auto"/>
              <w:jc w:val="left"/>
              <w:rPr>
                <w:rFonts w:hint="eastAsia" w:ascii="宋体" w:hAnsi="宋体"/>
                <w:b/>
                <w:szCs w:val="21"/>
              </w:rPr>
            </w:pPr>
            <w:r>
              <w:rPr>
                <w:rFonts w:hint="eastAsia" w:ascii="宋体" w:hAnsi="宋体"/>
                <w:b/>
                <w:sz w:val="24"/>
                <w:szCs w:val="24"/>
              </w:rPr>
              <w:t>一、</w:t>
            </w:r>
            <w:r>
              <w:rPr>
                <w:rFonts w:hint="eastAsia" w:ascii="宋体" w:hAnsi="宋体"/>
                <w:b/>
                <w:sz w:val="24"/>
                <w:szCs w:val="24"/>
                <w:lang w:val="en-US" w:eastAsia="zh-CN"/>
              </w:rPr>
              <w:t>项目采购</w:t>
            </w:r>
            <w:r>
              <w:rPr>
                <w:rFonts w:hint="eastAsia" w:ascii="宋体" w:hAnsi="宋体"/>
                <w:b/>
                <w:sz w:val="24"/>
                <w:szCs w:val="24"/>
              </w:rPr>
              <w:t>需求</w:t>
            </w:r>
          </w:p>
        </w:tc>
      </w:tr>
      <w:tr w14:paraId="06063C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668" w:type="dxa"/>
            <w:tcBorders>
              <w:top w:val="single" w:color="auto" w:sz="4" w:space="0"/>
              <w:left w:val="single" w:color="auto" w:sz="4" w:space="0"/>
              <w:bottom w:val="single" w:color="auto" w:sz="4" w:space="0"/>
              <w:right w:val="single" w:color="auto" w:sz="4" w:space="0"/>
            </w:tcBorders>
            <w:vAlign w:val="center"/>
          </w:tcPr>
          <w:p w14:paraId="06063CE5">
            <w:pPr>
              <w:spacing w:line="360" w:lineRule="auto"/>
              <w:jc w:val="center"/>
              <w:rPr>
                <w:rFonts w:hint="eastAsia" w:ascii="宋体" w:hAnsi="宋体"/>
                <w:b/>
                <w:sz w:val="21"/>
                <w:szCs w:val="21"/>
              </w:rPr>
            </w:pPr>
            <w:r>
              <w:rPr>
                <w:rFonts w:hint="eastAsia" w:ascii="宋体" w:hAnsi="宋体"/>
                <w:b/>
                <w:sz w:val="21"/>
                <w:szCs w:val="21"/>
              </w:rPr>
              <w:t>序号</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06063CE6">
            <w:pPr>
              <w:spacing w:line="360" w:lineRule="auto"/>
              <w:jc w:val="center"/>
              <w:rPr>
                <w:rFonts w:hint="default" w:ascii="宋体" w:hAnsi="宋体" w:eastAsiaTheme="minorEastAsia"/>
                <w:b/>
                <w:sz w:val="21"/>
                <w:szCs w:val="21"/>
                <w:lang w:val="en-US" w:eastAsia="zh-CN"/>
              </w:rPr>
            </w:pPr>
            <w:r>
              <w:rPr>
                <w:rFonts w:hint="eastAsia" w:ascii="宋体" w:hAnsi="宋体"/>
                <w:b/>
                <w:sz w:val="21"/>
                <w:szCs w:val="21"/>
              </w:rPr>
              <w:t>采购</w:t>
            </w:r>
            <w:r>
              <w:rPr>
                <w:rFonts w:hint="eastAsia" w:ascii="宋体" w:hAnsi="宋体"/>
                <w:b/>
                <w:sz w:val="21"/>
                <w:szCs w:val="21"/>
                <w:lang w:val="en-US" w:eastAsia="zh-CN"/>
              </w:rPr>
              <w:t>项目名称</w:t>
            </w:r>
          </w:p>
        </w:tc>
        <w:tc>
          <w:tcPr>
            <w:tcW w:w="2063" w:type="dxa"/>
            <w:tcBorders>
              <w:top w:val="single" w:color="auto" w:sz="4" w:space="0"/>
              <w:left w:val="single" w:color="auto" w:sz="4" w:space="0"/>
              <w:bottom w:val="single" w:color="auto" w:sz="4" w:space="0"/>
              <w:right w:val="single" w:color="auto" w:sz="4" w:space="0"/>
            </w:tcBorders>
            <w:vAlign w:val="center"/>
          </w:tcPr>
          <w:p w14:paraId="06063CE8">
            <w:pPr>
              <w:snapToGrid w:val="0"/>
              <w:jc w:val="center"/>
              <w:rPr>
                <w:rFonts w:hint="eastAsia" w:ascii="宋体" w:hAnsi="宋体" w:eastAsiaTheme="minorEastAsia"/>
                <w:b/>
                <w:sz w:val="21"/>
                <w:szCs w:val="21"/>
                <w:lang w:eastAsia="zh-CN"/>
              </w:rPr>
            </w:pPr>
            <w:r>
              <w:rPr>
                <w:rFonts w:hint="eastAsia" w:ascii="宋体" w:hAnsi="宋体"/>
                <w:b/>
                <w:sz w:val="21"/>
                <w:szCs w:val="21"/>
                <w:lang w:val="en-US" w:eastAsia="zh-CN"/>
              </w:rPr>
              <w:t>服务内容</w:t>
            </w:r>
          </w:p>
        </w:tc>
        <w:tc>
          <w:tcPr>
            <w:tcW w:w="650" w:type="dxa"/>
            <w:tcBorders>
              <w:top w:val="single" w:color="auto" w:sz="4" w:space="0"/>
              <w:left w:val="single" w:color="auto" w:sz="4" w:space="0"/>
              <w:bottom w:val="single" w:color="auto" w:sz="4" w:space="0"/>
              <w:right w:val="single" w:color="auto" w:sz="4" w:space="0"/>
            </w:tcBorders>
            <w:vAlign w:val="center"/>
          </w:tcPr>
          <w:p w14:paraId="06063CE9">
            <w:pPr>
              <w:snapToGrid w:val="0"/>
              <w:jc w:val="center"/>
              <w:rPr>
                <w:rFonts w:hint="eastAsia" w:ascii="宋体" w:hAnsi="宋体"/>
                <w:b/>
                <w:sz w:val="21"/>
                <w:szCs w:val="21"/>
              </w:rPr>
            </w:pPr>
            <w:r>
              <w:rPr>
                <w:rFonts w:hint="eastAsia" w:ascii="宋体" w:hAnsi="宋体"/>
                <w:b/>
                <w:sz w:val="21"/>
                <w:szCs w:val="21"/>
              </w:rPr>
              <w:t>数量</w:t>
            </w:r>
          </w:p>
          <w:p w14:paraId="06063CEA">
            <w:pPr>
              <w:snapToGrid w:val="0"/>
              <w:jc w:val="center"/>
              <w:rPr>
                <w:rFonts w:hint="eastAsia" w:ascii="宋体" w:hAnsi="宋体"/>
                <w:b/>
                <w:sz w:val="21"/>
                <w:szCs w:val="21"/>
              </w:rPr>
            </w:pPr>
            <w:r>
              <w:rPr>
                <w:rFonts w:hint="eastAsia" w:ascii="宋体" w:hAnsi="宋体"/>
                <w:b/>
                <w:sz w:val="21"/>
                <w:szCs w:val="21"/>
              </w:rPr>
              <w:t>单位</w:t>
            </w:r>
          </w:p>
        </w:tc>
        <w:tc>
          <w:tcPr>
            <w:tcW w:w="4347" w:type="dxa"/>
            <w:tcBorders>
              <w:top w:val="single" w:color="auto" w:sz="4" w:space="0"/>
              <w:left w:val="single" w:color="auto" w:sz="4" w:space="0"/>
              <w:bottom w:val="single" w:color="auto" w:sz="4" w:space="0"/>
              <w:right w:val="single" w:color="auto" w:sz="4" w:space="0"/>
            </w:tcBorders>
            <w:vAlign w:val="center"/>
          </w:tcPr>
          <w:p w14:paraId="06063CEB">
            <w:pPr>
              <w:spacing w:line="360" w:lineRule="auto"/>
              <w:jc w:val="center"/>
              <w:rPr>
                <w:rFonts w:hint="eastAsia" w:ascii="宋体" w:hAnsi="宋体"/>
                <w:b/>
                <w:sz w:val="21"/>
                <w:szCs w:val="21"/>
              </w:rPr>
            </w:pPr>
            <w:r>
              <w:rPr>
                <w:rFonts w:hint="eastAsia" w:ascii="宋体" w:hAnsi="宋体"/>
                <w:b/>
                <w:sz w:val="21"/>
                <w:szCs w:val="21"/>
              </w:rPr>
              <w:t>项目要求</w:t>
            </w:r>
          </w:p>
        </w:tc>
      </w:tr>
      <w:tr w14:paraId="06063C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jc w:val="center"/>
        </w:trPr>
        <w:tc>
          <w:tcPr>
            <w:tcW w:w="668" w:type="dxa"/>
            <w:tcBorders>
              <w:top w:val="single" w:color="auto" w:sz="4" w:space="0"/>
              <w:left w:val="single" w:color="auto" w:sz="4" w:space="0"/>
              <w:bottom w:val="single" w:color="auto" w:sz="4" w:space="0"/>
              <w:right w:val="single" w:color="auto" w:sz="4" w:space="0"/>
            </w:tcBorders>
            <w:vAlign w:val="center"/>
          </w:tcPr>
          <w:p w14:paraId="06063CED">
            <w:pPr>
              <w:keepNext w:val="0"/>
              <w:keepLines w:val="0"/>
              <w:widowControl/>
              <w:suppressLineNumbers w:val="0"/>
              <w:jc w:val="center"/>
              <w:textAlignment w:val="center"/>
              <w:rPr>
                <w:rFonts w:hint="eastAsia" w:asciiTheme="minorEastAsia" w:hAnsiTheme="minorEastAsia" w:cstheme="minorEastAsia"/>
                <w:sz w:val="21"/>
                <w:szCs w:val="21"/>
              </w:rPr>
            </w:pPr>
            <w:r>
              <w:rPr>
                <w:rFonts w:hint="eastAsia" w:ascii="宋体" w:hAnsi="宋体" w:eastAsia="宋体" w:cs="宋体"/>
                <w:i w:val="0"/>
                <w:iCs w:val="0"/>
                <w:color w:val="000000"/>
                <w:kern w:val="0"/>
                <w:sz w:val="21"/>
                <w:szCs w:val="21"/>
                <w:u w:val="none"/>
                <w:lang w:val="en-US" w:eastAsia="zh-CN" w:bidi="ar"/>
              </w:rPr>
              <w:t>1</w:t>
            </w:r>
          </w:p>
        </w:tc>
        <w:tc>
          <w:tcPr>
            <w:tcW w:w="148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6063CEF">
            <w:pPr>
              <w:widowControl/>
              <w:spacing w:after="0"/>
              <w:jc w:val="center"/>
              <w:textAlignment w:val="center"/>
              <w:rPr>
                <w:rFonts w:hint="eastAsia" w:asciiTheme="minorEastAsia" w:hAnsiTheme="minorEastAsia" w:eastAsiaTheme="minorEastAsia" w:cstheme="minorEastAsia"/>
                <w:sz w:val="21"/>
                <w:szCs w:val="21"/>
                <w:lang w:val="en-US" w:eastAsia="zh-CN"/>
              </w:rPr>
            </w:pPr>
            <w:r>
              <w:rPr>
                <w:rFonts w:hint="eastAsia" w:ascii="宋体" w:hAnsi="宋体" w:eastAsia="宋体" w:cs="Times New Roman"/>
                <w:szCs w:val="21"/>
              </w:rPr>
              <w:t>广西中医药大学阿平湖周边柳树优化服务项目</w:t>
            </w:r>
          </w:p>
        </w:tc>
        <w:tc>
          <w:tcPr>
            <w:tcW w:w="2063" w:type="dxa"/>
            <w:tcBorders>
              <w:top w:val="single" w:color="auto" w:sz="4" w:space="0"/>
              <w:left w:val="single" w:color="auto" w:sz="4" w:space="0"/>
              <w:bottom w:val="single" w:color="auto" w:sz="4" w:space="0"/>
              <w:right w:val="single" w:color="auto" w:sz="4" w:space="0"/>
            </w:tcBorders>
            <w:shd w:val="clear" w:color="auto" w:fill="auto"/>
            <w:vAlign w:val="center"/>
          </w:tcPr>
          <w:p w14:paraId="27F9D655">
            <w:pPr>
              <w:widowControl/>
              <w:spacing w:after="0"/>
              <w:jc w:val="left"/>
              <w:textAlignment w:val="center"/>
              <w:rPr>
                <w:rFonts w:hint="eastAsia" w:ascii="宋体" w:hAnsi="宋体" w:eastAsia="宋体" w:cs="Times New Roman"/>
                <w:szCs w:val="21"/>
              </w:rPr>
            </w:pPr>
            <w:r>
              <w:rPr>
                <w:rFonts w:hint="eastAsia" w:ascii="宋体" w:hAnsi="宋体" w:eastAsia="宋体" w:cs="Times New Roman"/>
                <w:szCs w:val="21"/>
                <w:lang w:val="en-US" w:eastAsia="zh-CN"/>
              </w:rPr>
              <w:t>1.</w:t>
            </w:r>
            <w:r>
              <w:rPr>
                <w:rFonts w:hint="eastAsia" w:ascii="宋体" w:hAnsi="宋体" w:eastAsia="宋体" w:cs="Times New Roman"/>
                <w:szCs w:val="21"/>
              </w:rPr>
              <w:t>迁移现有黄金香柳树 33 棵，地径 6‑8 厘米</w:t>
            </w:r>
            <w:r>
              <w:rPr>
                <w:rFonts w:hint="eastAsia" w:ascii="宋体" w:hAnsi="宋体" w:eastAsia="宋体" w:cs="Times New Roman"/>
                <w:szCs w:val="21"/>
                <w:lang w:val="en-US" w:eastAsia="zh-CN"/>
              </w:rPr>
              <w:t>至校内指定区域</w:t>
            </w:r>
            <w:r>
              <w:rPr>
                <w:rFonts w:hint="eastAsia" w:ascii="宋体" w:hAnsi="宋体" w:eastAsia="宋体" w:cs="Times New Roman"/>
                <w:szCs w:val="21"/>
              </w:rPr>
              <w:t>；</w:t>
            </w:r>
          </w:p>
          <w:p w14:paraId="7684EBF1">
            <w:pPr>
              <w:widowControl/>
              <w:spacing w:after="0"/>
              <w:jc w:val="left"/>
              <w:textAlignment w:val="center"/>
              <w:rPr>
                <w:rFonts w:hint="eastAsia" w:ascii="宋体" w:hAnsi="宋体" w:eastAsia="宋体" w:cs="Times New Roman"/>
                <w:szCs w:val="21"/>
                <w:lang w:eastAsia="zh-CN"/>
              </w:rPr>
            </w:pPr>
            <w:r>
              <w:rPr>
                <w:rFonts w:hint="eastAsia" w:ascii="宋体" w:hAnsi="宋体" w:eastAsia="宋体" w:cs="Times New Roman"/>
                <w:szCs w:val="21"/>
                <w:lang w:val="en-US" w:eastAsia="zh-CN"/>
              </w:rPr>
              <w:t>2.</w:t>
            </w:r>
            <w:r>
              <w:rPr>
                <w:rFonts w:hint="eastAsia" w:ascii="宋体" w:hAnsi="宋体" w:eastAsia="宋体" w:cs="Times New Roman"/>
                <w:szCs w:val="21"/>
              </w:rPr>
              <w:t>采购新种垂柳 33 棵，地径 13‑15 厘米，树形完整健康</w:t>
            </w:r>
            <w:r>
              <w:rPr>
                <w:rFonts w:hint="eastAsia" w:ascii="宋体" w:hAnsi="宋体" w:eastAsia="宋体" w:cs="Times New Roman"/>
                <w:szCs w:val="21"/>
                <w:lang w:eastAsia="zh-CN"/>
              </w:rPr>
              <w:t>；</w:t>
            </w:r>
          </w:p>
          <w:p w14:paraId="2F02EC02">
            <w:pPr>
              <w:widowControl/>
              <w:spacing w:after="0"/>
              <w:jc w:val="left"/>
              <w:textAlignment w:val="center"/>
              <w:rPr>
                <w:rFonts w:hint="eastAsia" w:asciiTheme="minorEastAsia" w:hAnsiTheme="minorEastAsia" w:cstheme="minorEastAsia"/>
                <w:kern w:val="0"/>
                <w:sz w:val="21"/>
                <w:szCs w:val="21"/>
              </w:rPr>
            </w:pPr>
            <w:r>
              <w:rPr>
                <w:rFonts w:hint="eastAsia" w:ascii="宋体" w:hAnsi="宋体" w:eastAsia="宋体" w:cs="Times New Roman"/>
                <w:szCs w:val="21"/>
                <w:lang w:val="en-US" w:eastAsia="zh-CN"/>
              </w:rPr>
              <w:t>3.树坑草坪修复。</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06063CF1">
            <w:pPr>
              <w:keepNext w:val="0"/>
              <w:keepLines w:val="0"/>
              <w:widowControl/>
              <w:suppressLineNumbers w:val="0"/>
              <w:jc w:val="both"/>
              <w:textAlignment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项</w:t>
            </w:r>
          </w:p>
        </w:tc>
        <w:tc>
          <w:tcPr>
            <w:tcW w:w="4347" w:type="dxa"/>
            <w:tcBorders>
              <w:top w:val="single" w:color="auto" w:sz="4" w:space="0"/>
              <w:left w:val="single" w:color="auto" w:sz="4" w:space="0"/>
              <w:bottom w:val="single" w:color="auto" w:sz="4" w:space="0"/>
              <w:right w:val="single" w:color="auto" w:sz="4" w:space="0"/>
            </w:tcBorders>
            <w:shd w:val="clear" w:color="auto" w:fill="auto"/>
            <w:vAlign w:val="center"/>
          </w:tcPr>
          <w:p w14:paraId="06063CF2">
            <w:pPr>
              <w:keepNext w:val="0"/>
              <w:keepLines w:val="0"/>
              <w:widowControl/>
              <w:suppressLineNumbers w:val="0"/>
              <w:jc w:val="left"/>
              <w:textAlignment w:val="center"/>
              <w:rPr>
                <w:rFonts w:hint="eastAsia" w:eastAsia="宋体" w:asciiTheme="minorEastAsia" w:hAnsiTheme="minorEastAsia" w:cstheme="minorEastAsia"/>
                <w:sz w:val="21"/>
                <w:szCs w:val="21"/>
                <w:lang w:val="en-US" w:eastAsia="zh-CN" w:bidi="ar"/>
              </w:rPr>
            </w:pPr>
            <w:r>
              <w:rPr>
                <w:rFonts w:hint="eastAsia" w:ascii="宋体" w:hAnsi="宋体" w:eastAsia="宋体" w:cs="Times New Roman"/>
                <w:szCs w:val="21"/>
              </w:rPr>
              <w:t>费用包括：柳树迁移服务费（起挖、运费、吊车费、土球包扎材料、种植土、有机肥、树干营养液、生根剂、叶面肥）；新垂柳苗木采购、种植服务费（运费、吊车费、土球包扎材料、种植土、有机肥、树干营养液、生根剂、叶面肥）；</w:t>
            </w:r>
            <w:r>
              <w:rPr>
                <w:rFonts w:hint="eastAsia" w:ascii="宋体" w:hAnsi="宋体" w:eastAsia="宋体" w:cs="Times New Roman"/>
                <w:b/>
                <w:bCs/>
                <w:szCs w:val="21"/>
              </w:rPr>
              <w:t>在1 年质保养护期内（植株包活）</w:t>
            </w:r>
            <w:r>
              <w:rPr>
                <w:rFonts w:hint="eastAsia" w:ascii="宋体" w:hAnsi="宋体" w:eastAsia="宋体" w:cs="Times New Roman"/>
                <w:szCs w:val="21"/>
              </w:rPr>
              <w:t>，若新种垂柳出现死亡</w:t>
            </w:r>
            <w:r>
              <w:rPr>
                <w:rFonts w:hint="eastAsia" w:ascii="宋体" w:hAnsi="宋体" w:eastAsia="宋体" w:cs="Times New Roman"/>
                <w:szCs w:val="21"/>
                <w:lang w:val="en-US" w:eastAsia="zh-CN"/>
              </w:rPr>
              <w:t>或树形残缺或病虫害严重等</w:t>
            </w:r>
            <w:r>
              <w:rPr>
                <w:rFonts w:hint="eastAsia" w:ascii="宋体" w:hAnsi="宋体" w:eastAsia="宋体" w:cs="Times New Roman"/>
                <w:szCs w:val="21"/>
              </w:rPr>
              <w:t>情况，乙方需承担更换同品质垂柳植株的费用，且甲方无需再向乙方支付任何额外费用。</w:t>
            </w:r>
          </w:p>
        </w:tc>
      </w:tr>
      <w:tr w14:paraId="06063D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9209" w:type="dxa"/>
            <w:gridSpan w:val="6"/>
            <w:tcBorders>
              <w:top w:val="single" w:color="auto" w:sz="4" w:space="0"/>
              <w:left w:val="single" w:color="auto" w:sz="4" w:space="0"/>
              <w:bottom w:val="single" w:color="auto" w:sz="4" w:space="0"/>
              <w:right w:val="single" w:color="auto" w:sz="4" w:space="0"/>
            </w:tcBorders>
            <w:vAlign w:val="center"/>
          </w:tcPr>
          <w:p w14:paraId="06063D6F">
            <w:pPr>
              <w:tabs>
                <w:tab w:val="left" w:pos="1820"/>
              </w:tabs>
              <w:spacing w:line="360" w:lineRule="auto"/>
              <w:rPr>
                <w:rFonts w:hint="eastAsia" w:ascii="宋体" w:hAnsi="宋体" w:cs="宋体"/>
                <w:kern w:val="0"/>
                <w:szCs w:val="21"/>
              </w:rPr>
            </w:pPr>
            <w:r>
              <w:rPr>
                <w:rFonts w:hint="eastAsia" w:ascii="宋体" w:hAnsi="宋体" w:cs="宋体"/>
                <w:b/>
                <w:bCs/>
                <w:kern w:val="0"/>
                <w:sz w:val="24"/>
                <w:szCs w:val="24"/>
              </w:rPr>
              <w:t>二、商务需求</w:t>
            </w:r>
          </w:p>
        </w:tc>
      </w:tr>
      <w:tr w14:paraId="06063D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1328" w:type="dxa"/>
            <w:gridSpan w:val="2"/>
            <w:tcBorders>
              <w:top w:val="single" w:color="auto" w:sz="4" w:space="0"/>
              <w:left w:val="single" w:color="auto" w:sz="4" w:space="0"/>
              <w:bottom w:val="single" w:color="auto" w:sz="4" w:space="0"/>
              <w:right w:val="single" w:color="auto" w:sz="4" w:space="0"/>
            </w:tcBorders>
            <w:vAlign w:val="center"/>
          </w:tcPr>
          <w:p w14:paraId="06063D71">
            <w:pPr>
              <w:autoSpaceDE w:val="0"/>
              <w:autoSpaceDN w:val="0"/>
              <w:adjustRightInd w:val="0"/>
              <w:spacing w:line="360" w:lineRule="auto"/>
              <w:jc w:val="left"/>
              <w:rPr>
                <w:rFonts w:hint="eastAsia" w:ascii="宋体" w:hAnsi="宋体" w:cs="宋体"/>
                <w:kern w:val="0"/>
                <w:sz w:val="24"/>
                <w:szCs w:val="24"/>
              </w:rPr>
            </w:pPr>
            <w:r>
              <w:rPr>
                <w:rFonts w:hint="eastAsia" w:ascii="宋体" w:hAnsi="宋体"/>
                <w:sz w:val="24"/>
                <w:szCs w:val="24"/>
              </w:rPr>
              <w:t>服务期限及地点</w:t>
            </w:r>
          </w:p>
        </w:tc>
        <w:tc>
          <w:tcPr>
            <w:tcW w:w="7881" w:type="dxa"/>
            <w:gridSpan w:val="4"/>
            <w:tcBorders>
              <w:top w:val="single" w:color="auto" w:sz="4" w:space="0"/>
              <w:left w:val="single" w:color="auto" w:sz="4" w:space="0"/>
              <w:bottom w:val="single" w:color="auto" w:sz="4" w:space="0"/>
              <w:right w:val="single" w:color="auto" w:sz="4" w:space="0"/>
            </w:tcBorders>
            <w:vAlign w:val="center"/>
          </w:tcPr>
          <w:p w14:paraId="6C829F68">
            <w:pPr>
              <w:autoSpaceDE w:val="0"/>
              <w:autoSpaceDN w:val="0"/>
              <w:adjustRightInd w:val="0"/>
              <w:spacing w:line="360" w:lineRule="auto"/>
              <w:jc w:val="left"/>
              <w:rPr>
                <w:rFonts w:hint="eastAsia" w:ascii="宋体" w:hAnsi="宋体" w:cs="宋体"/>
                <w:kern w:val="0"/>
                <w:sz w:val="24"/>
                <w:szCs w:val="24"/>
                <w:lang w:val="en-US" w:eastAsia="zh-CN"/>
              </w:rPr>
            </w:pPr>
            <w:r>
              <w:rPr>
                <w:rFonts w:ascii="宋体" w:hAnsi="宋体" w:cs="宋体"/>
                <w:kern w:val="0"/>
                <w:sz w:val="24"/>
                <w:szCs w:val="24"/>
              </w:rPr>
              <w:t>1</w:t>
            </w:r>
            <w:r>
              <w:rPr>
                <w:rFonts w:hint="eastAsia" w:ascii="宋体" w:hAnsi="宋体" w:cs="宋体"/>
                <w:kern w:val="0"/>
                <w:sz w:val="24"/>
                <w:szCs w:val="24"/>
              </w:rPr>
              <w:t>、服务期限：</w:t>
            </w:r>
            <w:r>
              <w:rPr>
                <w:rFonts w:ascii="宋体" w:hAnsi="宋体" w:eastAsia="宋体" w:cs="宋体"/>
                <w:sz w:val="24"/>
                <w:szCs w:val="24"/>
              </w:rPr>
              <w:t>合同签订之日起 15 个工作日内完成柳树迁移及垂柳种植，服务项目完成并验收合格之日起</w:t>
            </w:r>
            <w:r>
              <w:rPr>
                <w:rStyle w:val="15"/>
                <w:rFonts w:ascii="宋体" w:hAnsi="宋体" w:eastAsia="宋体" w:cs="宋体"/>
                <w:sz w:val="24"/>
                <w:szCs w:val="24"/>
              </w:rPr>
              <w:t>一年</w:t>
            </w:r>
            <w:r>
              <w:rPr>
                <w:rFonts w:ascii="宋体" w:hAnsi="宋体" w:eastAsia="宋体" w:cs="宋体"/>
                <w:sz w:val="24"/>
                <w:szCs w:val="24"/>
              </w:rPr>
              <w:t>质保养护期，在一年质保养护期内（植株包活），若新种垂柳</w:t>
            </w:r>
            <w:r>
              <w:rPr>
                <w:rFonts w:hint="eastAsia" w:ascii="宋体" w:hAnsi="宋体" w:eastAsia="宋体" w:cs="宋体"/>
                <w:sz w:val="24"/>
                <w:szCs w:val="24"/>
                <w:lang w:val="en-US" w:eastAsia="zh-CN"/>
              </w:rPr>
              <w:t>出现</w:t>
            </w:r>
            <w:r>
              <w:rPr>
                <w:rFonts w:hint="eastAsia" w:ascii="宋体" w:hAnsi="宋体" w:eastAsia="宋体" w:cs="宋体"/>
                <w:sz w:val="24"/>
                <w:szCs w:val="24"/>
              </w:rPr>
              <w:t>死亡或树形残缺或病虫害严重等情况</w:t>
            </w:r>
            <w:r>
              <w:rPr>
                <w:rFonts w:ascii="宋体" w:hAnsi="宋体" w:eastAsia="宋体" w:cs="宋体"/>
                <w:sz w:val="24"/>
                <w:szCs w:val="24"/>
              </w:rPr>
              <w:t>，乙方需承担更换同品质垂柳植株的费用，且甲方无需再向乙方支付任何额外费用。</w:t>
            </w:r>
          </w:p>
          <w:p w14:paraId="06063D73">
            <w:pPr>
              <w:autoSpaceDE w:val="0"/>
              <w:autoSpaceDN w:val="0"/>
              <w:adjustRightInd w:val="0"/>
              <w:spacing w:line="360" w:lineRule="auto"/>
              <w:jc w:val="left"/>
              <w:rPr>
                <w:rFonts w:hint="eastAsia" w:ascii="宋体" w:hAnsi="宋体" w:cs="宋体"/>
                <w:kern w:val="0"/>
                <w:sz w:val="24"/>
                <w:szCs w:val="24"/>
              </w:rPr>
            </w:pPr>
            <w:r>
              <w:rPr>
                <w:rFonts w:hint="eastAsia" w:ascii="宋体" w:hAnsi="宋体" w:cs="宋体"/>
                <w:kern w:val="0"/>
                <w:sz w:val="24"/>
                <w:szCs w:val="24"/>
              </w:rPr>
              <w:t>2、服务地点：广西中医药大学仙葫校区。</w:t>
            </w:r>
          </w:p>
        </w:tc>
      </w:tr>
      <w:tr w14:paraId="06063D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1328" w:type="dxa"/>
            <w:gridSpan w:val="2"/>
            <w:tcBorders>
              <w:top w:val="single" w:color="auto" w:sz="4" w:space="0"/>
              <w:left w:val="single" w:color="auto" w:sz="4" w:space="0"/>
              <w:bottom w:val="single" w:color="auto" w:sz="4" w:space="0"/>
              <w:right w:val="single" w:color="auto" w:sz="4" w:space="0"/>
            </w:tcBorders>
            <w:vAlign w:val="center"/>
          </w:tcPr>
          <w:p w14:paraId="06063D75">
            <w:pPr>
              <w:autoSpaceDE w:val="0"/>
              <w:autoSpaceDN w:val="0"/>
              <w:adjustRightInd w:val="0"/>
              <w:spacing w:line="360" w:lineRule="auto"/>
              <w:jc w:val="left"/>
              <w:rPr>
                <w:rFonts w:hint="eastAsia" w:ascii="宋体" w:hAnsi="宋体" w:cs="宋体"/>
                <w:kern w:val="0"/>
                <w:sz w:val="24"/>
                <w:szCs w:val="24"/>
              </w:rPr>
            </w:pPr>
            <w:r>
              <w:rPr>
                <w:rFonts w:hint="eastAsia" w:ascii="宋体" w:hAnsi="宋体" w:cs="宋体"/>
                <w:kern w:val="0"/>
                <w:sz w:val="24"/>
                <w:szCs w:val="24"/>
              </w:rPr>
              <w:t>付款</w:t>
            </w:r>
            <w:r>
              <w:rPr>
                <w:rFonts w:hint="eastAsia" w:ascii="宋体" w:hAnsi="宋体"/>
                <w:sz w:val="24"/>
                <w:szCs w:val="24"/>
              </w:rPr>
              <w:t>条件</w:t>
            </w:r>
          </w:p>
        </w:tc>
        <w:tc>
          <w:tcPr>
            <w:tcW w:w="7881" w:type="dxa"/>
            <w:gridSpan w:val="4"/>
            <w:tcBorders>
              <w:top w:val="single" w:color="auto" w:sz="4" w:space="0"/>
              <w:left w:val="single" w:color="auto" w:sz="4" w:space="0"/>
              <w:bottom w:val="single" w:color="auto" w:sz="4" w:space="0"/>
              <w:right w:val="single" w:color="auto" w:sz="4" w:space="0"/>
            </w:tcBorders>
            <w:vAlign w:val="center"/>
          </w:tcPr>
          <w:p w14:paraId="365A3EEC">
            <w:pPr>
              <w:autoSpaceDE w:val="0"/>
              <w:autoSpaceDN w:val="0"/>
              <w:adjustRightInd w:val="0"/>
              <w:spacing w:line="360" w:lineRule="auto"/>
              <w:jc w:val="left"/>
              <w:rPr>
                <w:rFonts w:hint="default" w:ascii="宋体" w:hAnsi="宋体" w:cs="宋体"/>
                <w:kern w:val="0"/>
                <w:sz w:val="24"/>
                <w:szCs w:val="24"/>
                <w:lang w:val="en-US" w:eastAsia="zh-CN"/>
              </w:rPr>
            </w:pPr>
            <w:r>
              <w:rPr>
                <w:rFonts w:hint="eastAsia" w:ascii="宋体" w:hAnsi="宋体" w:cs="宋体"/>
                <w:kern w:val="0"/>
                <w:sz w:val="24"/>
                <w:szCs w:val="24"/>
                <w:lang w:val="en-US" w:eastAsia="zh-CN"/>
              </w:rPr>
              <w:t>1、甲方每次付款前，乙方应开具相应金额增值税普通发票的发票给甲方，甲方收到发票后30个工作日内付款。</w:t>
            </w:r>
          </w:p>
          <w:p w14:paraId="67B60478">
            <w:pPr>
              <w:autoSpaceDE w:val="0"/>
              <w:autoSpaceDN w:val="0"/>
              <w:adjustRightInd w:val="0"/>
              <w:spacing w:line="360" w:lineRule="auto"/>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2、服务项目完成并验收合格后，甲方支付合同款的50%人民币</w:t>
            </w:r>
          </w:p>
          <w:p w14:paraId="3F8B78E0">
            <w:pPr>
              <w:autoSpaceDE w:val="0"/>
              <w:autoSpaceDN w:val="0"/>
              <w:adjustRightInd w:val="0"/>
              <w:spacing w:line="360" w:lineRule="auto"/>
              <w:jc w:val="left"/>
              <w:rPr>
                <w:rFonts w:hint="eastAsia" w:ascii="宋体" w:hAnsi="宋体" w:eastAsia="宋体" w:cs="宋体"/>
                <w:kern w:val="1"/>
                <w:sz w:val="24"/>
                <w:szCs w:val="24"/>
              </w:rPr>
            </w:pPr>
            <w:r>
              <w:rPr>
                <w:rFonts w:hint="eastAsia" w:ascii="宋体" w:hAnsi="宋体" w:cs="宋体"/>
                <w:kern w:val="0"/>
                <w:sz w:val="24"/>
                <w:szCs w:val="24"/>
                <w:lang w:val="en-US" w:eastAsia="zh-CN"/>
              </w:rPr>
              <w:t>3、余款（无息）在质保养护期满且无质量问题时付清。</w:t>
            </w:r>
          </w:p>
        </w:tc>
      </w:tr>
      <w:tr w14:paraId="06063D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9209" w:type="dxa"/>
            <w:gridSpan w:val="6"/>
            <w:tcBorders>
              <w:top w:val="single" w:color="auto" w:sz="4" w:space="0"/>
              <w:left w:val="single" w:color="auto" w:sz="4" w:space="0"/>
              <w:bottom w:val="single" w:color="auto" w:sz="4" w:space="0"/>
              <w:right w:val="single" w:color="auto" w:sz="4" w:space="0"/>
            </w:tcBorders>
            <w:vAlign w:val="center"/>
          </w:tcPr>
          <w:p w14:paraId="06063D78">
            <w:pPr>
              <w:autoSpaceDE w:val="0"/>
              <w:autoSpaceDN w:val="0"/>
              <w:adjustRightInd w:val="0"/>
              <w:spacing w:line="360" w:lineRule="auto"/>
              <w:jc w:val="left"/>
              <w:rPr>
                <w:rFonts w:hint="eastAsia" w:ascii="宋体" w:hAnsi="宋体" w:cs="宋体"/>
                <w:kern w:val="0"/>
                <w:szCs w:val="21"/>
              </w:rPr>
            </w:pPr>
            <w:r>
              <w:rPr>
                <w:rFonts w:hint="eastAsia" w:ascii="宋体" w:hAnsi="宋体" w:cs="TimesNewRomanPSMT"/>
                <w:b/>
                <w:kern w:val="0"/>
                <w:sz w:val="24"/>
                <w:szCs w:val="24"/>
              </w:rPr>
              <w:t>三、</w:t>
            </w:r>
            <w:r>
              <w:rPr>
                <w:rFonts w:hint="eastAsia" w:ascii="宋体" w:hAnsi="宋体"/>
                <w:b/>
                <w:sz w:val="28"/>
                <w:szCs w:val="28"/>
              </w:rPr>
              <w:t>▲</w:t>
            </w:r>
            <w:r>
              <w:rPr>
                <w:rFonts w:hint="eastAsia" w:ascii="宋体" w:hAnsi="宋体" w:cs="TimesNewRomanPSMT"/>
                <w:b/>
                <w:kern w:val="0"/>
                <w:sz w:val="24"/>
                <w:szCs w:val="24"/>
              </w:rPr>
              <w:t>其他要求</w:t>
            </w:r>
          </w:p>
        </w:tc>
      </w:tr>
      <w:tr w14:paraId="06063D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1328" w:type="dxa"/>
            <w:gridSpan w:val="2"/>
            <w:tcBorders>
              <w:top w:val="single" w:color="auto" w:sz="4" w:space="0"/>
              <w:left w:val="single" w:color="auto" w:sz="4" w:space="0"/>
              <w:bottom w:val="single" w:color="auto" w:sz="4" w:space="0"/>
              <w:right w:val="single" w:color="auto" w:sz="4" w:space="0"/>
            </w:tcBorders>
            <w:vAlign w:val="center"/>
          </w:tcPr>
          <w:p w14:paraId="06063D7A">
            <w:pPr>
              <w:autoSpaceDE w:val="0"/>
              <w:autoSpaceDN w:val="0"/>
              <w:adjustRightInd w:val="0"/>
              <w:spacing w:line="360" w:lineRule="auto"/>
              <w:jc w:val="left"/>
              <w:rPr>
                <w:rFonts w:hint="eastAsia" w:ascii="宋体" w:hAnsi="宋体" w:cs="TimesNewRomanPSMT"/>
                <w:kern w:val="0"/>
                <w:szCs w:val="21"/>
              </w:rPr>
            </w:pPr>
          </w:p>
        </w:tc>
        <w:tc>
          <w:tcPr>
            <w:tcW w:w="7881" w:type="dxa"/>
            <w:gridSpan w:val="4"/>
            <w:tcBorders>
              <w:top w:val="single" w:color="auto" w:sz="4" w:space="0"/>
              <w:left w:val="single" w:color="auto" w:sz="4" w:space="0"/>
              <w:bottom w:val="single" w:color="auto" w:sz="4" w:space="0"/>
              <w:right w:val="single" w:color="auto" w:sz="4" w:space="0"/>
            </w:tcBorders>
            <w:vAlign w:val="center"/>
          </w:tcPr>
          <w:p w14:paraId="03C09E26">
            <w:pPr>
              <w:pStyle w:val="2"/>
              <w:keepNext w:val="0"/>
              <w:keepLines w:val="0"/>
              <w:pageBreakBefore w:val="0"/>
              <w:widowControl w:val="0"/>
              <w:numPr>
                <w:ilvl w:val="0"/>
                <w:numId w:val="1"/>
              </w:numPr>
              <w:kinsoku/>
              <w:wordWrap/>
              <w:overflowPunct/>
              <w:topLinePunct w:val="0"/>
              <w:autoSpaceDE/>
              <w:autoSpaceDN/>
              <w:bidi w:val="0"/>
              <w:adjustRightInd/>
              <w:snapToGrid/>
              <w:spacing w:line="440" w:lineRule="exact"/>
              <w:textAlignment w:val="auto"/>
              <w:rPr>
                <w:rFonts w:hint="default"/>
                <w:lang w:val="en-US" w:eastAsia="zh-CN"/>
              </w:rPr>
            </w:pPr>
            <w:r>
              <w:rPr>
                <w:rFonts w:hint="default"/>
                <w:lang w:val="en-US" w:eastAsia="zh-CN"/>
              </w:rPr>
              <w:t>单项单价投标报价</w:t>
            </w:r>
            <w:r>
              <w:rPr>
                <w:rFonts w:hint="eastAsia"/>
                <w:lang w:val="en-US" w:eastAsia="zh-CN"/>
              </w:rPr>
              <w:t>。</w:t>
            </w:r>
          </w:p>
          <w:p w14:paraId="398D42BA">
            <w:pPr>
              <w:autoSpaceDE w:val="0"/>
              <w:autoSpaceDN w:val="0"/>
              <w:adjustRightInd w:val="0"/>
              <w:spacing w:line="440" w:lineRule="exact"/>
              <w:contextualSpacing/>
              <w:jc w:val="left"/>
              <w:rPr>
                <w:rFonts w:ascii="宋体" w:hAnsi="宋体" w:eastAsia="宋体" w:cs="宋体"/>
                <w:sz w:val="24"/>
                <w:szCs w:val="24"/>
              </w:rPr>
            </w:pPr>
            <w:r>
              <w:rPr>
                <w:rFonts w:ascii="宋体" w:hAnsi="宋体" w:eastAsia="宋体" w:cs="宋体"/>
                <w:sz w:val="24"/>
                <w:szCs w:val="24"/>
              </w:rPr>
              <w:t>本项目</w:t>
            </w:r>
            <w:r>
              <w:rPr>
                <w:rFonts w:hint="eastAsia" w:ascii="宋体" w:hAnsi="宋体" w:eastAsia="宋体" w:cs="宋体"/>
                <w:sz w:val="24"/>
                <w:szCs w:val="24"/>
              </w:rPr>
              <w:t>报价总价须包含如迁移和采购苗木、运输费、装卸费、安装费、1年养护费（包活）等全部费用</w:t>
            </w:r>
            <w:r>
              <w:rPr>
                <w:rFonts w:ascii="宋体" w:hAnsi="宋体" w:eastAsia="宋体" w:cs="宋体"/>
                <w:sz w:val="24"/>
                <w:szCs w:val="24"/>
              </w:rPr>
              <w:t>；以及包括：柳树</w:t>
            </w:r>
            <w:r>
              <w:rPr>
                <w:rStyle w:val="15"/>
                <w:rFonts w:ascii="宋体" w:hAnsi="宋体" w:eastAsia="宋体" w:cs="宋体"/>
                <w:sz w:val="24"/>
                <w:szCs w:val="24"/>
              </w:rPr>
              <w:t>迁移服务费</w:t>
            </w:r>
            <w:r>
              <w:rPr>
                <w:rFonts w:ascii="宋体" w:hAnsi="宋体" w:eastAsia="宋体" w:cs="宋体"/>
                <w:sz w:val="24"/>
                <w:szCs w:val="24"/>
              </w:rPr>
              <w:t>（起挖、运费、吊车费）；新种垂柳</w:t>
            </w:r>
            <w:r>
              <w:rPr>
                <w:rStyle w:val="15"/>
                <w:rFonts w:ascii="宋体" w:hAnsi="宋体" w:eastAsia="宋体" w:cs="宋体"/>
                <w:sz w:val="24"/>
                <w:szCs w:val="24"/>
              </w:rPr>
              <w:t>种植养护服务费</w:t>
            </w:r>
            <w:r>
              <w:rPr>
                <w:rFonts w:ascii="宋体" w:hAnsi="宋体" w:eastAsia="宋体" w:cs="宋体"/>
                <w:sz w:val="24"/>
                <w:szCs w:val="24"/>
              </w:rPr>
              <w:t>（苗木采购费、土球起吊包扎材料费、种植土、有机肥、树干营养液、生根剂、叶面肥）；在</w:t>
            </w:r>
            <w:r>
              <w:rPr>
                <w:rStyle w:val="15"/>
                <w:rFonts w:ascii="宋体" w:hAnsi="宋体" w:eastAsia="宋体" w:cs="宋体"/>
                <w:sz w:val="24"/>
                <w:szCs w:val="24"/>
              </w:rPr>
              <w:t>一年</w:t>
            </w:r>
            <w:r>
              <w:rPr>
                <w:rFonts w:ascii="宋体" w:hAnsi="宋体" w:eastAsia="宋体" w:cs="宋体"/>
                <w:sz w:val="24"/>
                <w:szCs w:val="24"/>
              </w:rPr>
              <w:t>质保养护期内，若新种垂柳出现</w:t>
            </w:r>
            <w:r>
              <w:rPr>
                <w:rFonts w:hint="eastAsia" w:ascii="宋体" w:hAnsi="宋体" w:eastAsia="宋体" w:cs="宋体"/>
                <w:sz w:val="24"/>
                <w:szCs w:val="24"/>
              </w:rPr>
              <w:t>死亡或树形残缺或病虫害严重等情况</w:t>
            </w:r>
            <w:r>
              <w:rPr>
                <w:rFonts w:ascii="宋体" w:hAnsi="宋体" w:eastAsia="宋体" w:cs="宋体"/>
                <w:sz w:val="24"/>
                <w:szCs w:val="24"/>
              </w:rPr>
              <w:t>，乙方需承担更换同品质垂柳植株的费用，且甲方无需再向乙方支付任何额外费用。</w:t>
            </w:r>
          </w:p>
          <w:p w14:paraId="06063D7D">
            <w:pPr>
              <w:autoSpaceDE w:val="0"/>
              <w:autoSpaceDN w:val="0"/>
              <w:adjustRightInd w:val="0"/>
              <w:spacing w:line="440" w:lineRule="exact"/>
              <w:contextualSpacing/>
              <w:jc w:val="left"/>
              <w:rPr>
                <w:rFonts w:hint="eastAsia" w:ascii="宋体" w:hAnsi="宋体"/>
                <w:b w:val="0"/>
                <w:bCs w:val="0"/>
                <w:sz w:val="24"/>
                <w:szCs w:val="24"/>
                <w:lang w:eastAsia="zh-CN"/>
              </w:rPr>
            </w:pPr>
            <w:r>
              <w:rPr>
                <w:rFonts w:hint="eastAsia" w:ascii="宋体" w:hAnsi="宋体"/>
                <w:b w:val="0"/>
                <w:bCs w:val="0"/>
                <w:sz w:val="24"/>
                <w:szCs w:val="24"/>
                <w:lang w:eastAsia="zh-CN"/>
              </w:rPr>
              <w:t>3、供应商应采取合理措施保障服务的安全性，自愿承担一切风险和责任。如因可能遭受的任何纠纷或损失应当由供应商承担全部责任。</w:t>
            </w:r>
          </w:p>
          <w:p w14:paraId="06EBFC51">
            <w:pPr>
              <w:autoSpaceDE w:val="0"/>
              <w:autoSpaceDN w:val="0"/>
              <w:adjustRightInd w:val="0"/>
              <w:spacing w:line="440" w:lineRule="exact"/>
              <w:contextualSpacing/>
              <w:jc w:val="left"/>
              <w:rPr>
                <w:rFonts w:hint="eastAsia" w:ascii="宋体" w:hAnsi="宋体"/>
                <w:b w:val="0"/>
                <w:bCs w:val="0"/>
                <w:sz w:val="24"/>
                <w:szCs w:val="24"/>
                <w:lang w:eastAsia="zh-CN"/>
              </w:rPr>
            </w:pPr>
            <w:r>
              <w:rPr>
                <w:rFonts w:hint="eastAsia" w:ascii="宋体" w:hAnsi="宋体"/>
                <w:b w:val="0"/>
                <w:bCs w:val="0"/>
                <w:sz w:val="24"/>
                <w:szCs w:val="24"/>
                <w:lang w:eastAsia="zh-CN"/>
              </w:rPr>
              <w:t>4、供应商应充分考虑供货成本及参数要求再进行报价。</w:t>
            </w:r>
          </w:p>
          <w:p w14:paraId="5C8DFE83">
            <w:pPr>
              <w:autoSpaceDE w:val="0"/>
              <w:autoSpaceDN w:val="0"/>
              <w:adjustRightInd w:val="0"/>
              <w:spacing w:line="440" w:lineRule="exact"/>
              <w:contextualSpacing/>
              <w:jc w:val="left"/>
              <w:rPr>
                <w:rFonts w:hint="eastAsia" w:ascii="宋体" w:hAnsi="宋体"/>
                <w:b w:val="0"/>
                <w:bCs w:val="0"/>
                <w:sz w:val="24"/>
                <w:szCs w:val="24"/>
                <w:lang w:eastAsia="zh-CN"/>
              </w:rPr>
            </w:pPr>
            <w:r>
              <w:rPr>
                <w:rFonts w:hint="eastAsia" w:ascii="宋体" w:hAnsi="宋体"/>
                <w:b w:val="0"/>
                <w:bCs w:val="0"/>
                <w:sz w:val="24"/>
                <w:szCs w:val="24"/>
                <w:lang w:val="en-US" w:eastAsia="zh-CN"/>
              </w:rPr>
              <w:t>5</w:t>
            </w:r>
            <w:r>
              <w:rPr>
                <w:rFonts w:hint="eastAsia" w:ascii="宋体" w:hAnsi="宋体"/>
                <w:b w:val="0"/>
                <w:bCs w:val="0"/>
                <w:sz w:val="24"/>
                <w:szCs w:val="24"/>
                <w:lang w:eastAsia="zh-CN"/>
              </w:rPr>
              <w:t>、验收：</w:t>
            </w:r>
            <w:r>
              <w:rPr>
                <w:rFonts w:hint="eastAsia" w:ascii="宋体" w:hAnsi="宋体"/>
                <w:b w:val="0"/>
                <w:bCs w:val="0"/>
                <w:sz w:val="24"/>
                <w:szCs w:val="24"/>
                <w:lang w:val="en-US" w:eastAsia="zh-CN"/>
              </w:rPr>
              <w:t>垂柳</w:t>
            </w:r>
            <w:r>
              <w:rPr>
                <w:rFonts w:hint="eastAsia" w:ascii="宋体" w:hAnsi="宋体"/>
                <w:b w:val="0"/>
                <w:bCs w:val="0"/>
                <w:sz w:val="24"/>
                <w:szCs w:val="24"/>
                <w:lang w:eastAsia="zh-CN"/>
              </w:rPr>
              <w:t>种植在甲方指定地点后，甲方应依据本合同及采购需求文件上的标准及时进行验收。如发生所与约定不符的情况，甲方有权要求乙方进行更换、补种，因此造成逾期交付的，乙方应承担逾期交付的违约责任。乙方应在接到甲方要求后</w:t>
            </w:r>
            <w:r>
              <w:rPr>
                <w:rFonts w:hint="eastAsia" w:ascii="宋体" w:hAnsi="宋体"/>
                <w:b w:val="0"/>
                <w:bCs w:val="0"/>
                <w:sz w:val="24"/>
                <w:szCs w:val="24"/>
                <w:lang w:val="en-US" w:eastAsia="zh-CN"/>
              </w:rPr>
              <w:t>7</w:t>
            </w:r>
            <w:r>
              <w:rPr>
                <w:rFonts w:hint="eastAsia" w:ascii="宋体" w:hAnsi="宋体"/>
                <w:b w:val="0"/>
                <w:bCs w:val="0"/>
                <w:sz w:val="24"/>
                <w:szCs w:val="24"/>
                <w:lang w:eastAsia="zh-CN"/>
              </w:rPr>
              <w:t>日内予以补救，所产生的费用及法律后果由乙方承担。</w:t>
            </w:r>
          </w:p>
          <w:p w14:paraId="7F8D3BAD">
            <w:pPr>
              <w:autoSpaceDE w:val="0"/>
              <w:autoSpaceDN w:val="0"/>
              <w:adjustRightInd w:val="0"/>
              <w:spacing w:line="440" w:lineRule="exact"/>
              <w:contextualSpacing/>
              <w:jc w:val="left"/>
              <w:rPr>
                <w:rFonts w:hint="eastAsia" w:ascii="宋体" w:hAnsi="宋体"/>
                <w:b w:val="0"/>
                <w:bCs w:val="0"/>
                <w:sz w:val="24"/>
                <w:szCs w:val="24"/>
                <w:lang w:eastAsia="zh-CN"/>
              </w:rPr>
            </w:pPr>
            <w:r>
              <w:rPr>
                <w:rFonts w:hint="eastAsia" w:ascii="宋体" w:hAnsi="宋体"/>
                <w:b w:val="0"/>
                <w:bCs w:val="0"/>
                <w:sz w:val="24"/>
                <w:szCs w:val="24"/>
                <w:lang w:val="en-US" w:eastAsia="zh-CN"/>
              </w:rPr>
              <w:t>6</w:t>
            </w:r>
            <w:r>
              <w:rPr>
                <w:rFonts w:hint="eastAsia" w:ascii="宋体" w:hAnsi="宋体"/>
                <w:b w:val="0"/>
                <w:bCs w:val="0"/>
                <w:sz w:val="24"/>
                <w:szCs w:val="24"/>
                <w:lang w:eastAsia="zh-CN"/>
              </w:rPr>
              <w:t>、乙方逾期交付的，每逾期一日，应按逾期交货总额 3‰向甲方支付违约金。逾期超过约定日期</w:t>
            </w:r>
            <w:r>
              <w:rPr>
                <w:rFonts w:hint="eastAsia" w:ascii="宋体" w:hAnsi="宋体"/>
                <w:b w:val="0"/>
                <w:bCs w:val="0"/>
                <w:sz w:val="24"/>
                <w:szCs w:val="24"/>
                <w:lang w:val="en-US" w:eastAsia="zh-CN"/>
              </w:rPr>
              <w:t>7</w:t>
            </w:r>
            <w:r>
              <w:rPr>
                <w:rFonts w:hint="eastAsia" w:ascii="宋体" w:hAnsi="宋体"/>
                <w:b w:val="0"/>
                <w:bCs w:val="0"/>
                <w:sz w:val="24"/>
                <w:szCs w:val="24"/>
                <w:lang w:eastAsia="zh-CN"/>
              </w:rPr>
              <w:t>日不能交付的，甲方有权解除本合同，并要求乙方支付合同总额 20 %的违约金。</w:t>
            </w:r>
          </w:p>
          <w:p w14:paraId="78F60474">
            <w:pPr>
              <w:autoSpaceDE w:val="0"/>
              <w:autoSpaceDN w:val="0"/>
              <w:adjustRightInd w:val="0"/>
              <w:spacing w:line="440" w:lineRule="exact"/>
              <w:contextualSpacing/>
              <w:jc w:val="left"/>
              <w:rPr>
                <w:rFonts w:hint="eastAsia" w:ascii="宋体" w:hAnsi="宋体"/>
                <w:b w:val="0"/>
                <w:bCs w:val="0"/>
                <w:sz w:val="24"/>
                <w:szCs w:val="24"/>
                <w:lang w:val="en-US" w:eastAsia="zh-CN"/>
              </w:rPr>
            </w:pPr>
            <w:r>
              <w:rPr>
                <w:rFonts w:hint="eastAsia" w:ascii="宋体" w:hAnsi="宋体"/>
                <w:b w:val="0"/>
                <w:bCs w:val="0"/>
                <w:sz w:val="24"/>
                <w:szCs w:val="24"/>
                <w:lang w:val="en-US" w:eastAsia="zh-CN"/>
              </w:rPr>
              <w:t>7.垂柳种植的场地如图所示：</w:t>
            </w:r>
          </w:p>
          <w:p w14:paraId="4728F1F9">
            <w:pPr>
              <w:autoSpaceDE w:val="0"/>
              <w:autoSpaceDN w:val="0"/>
              <w:adjustRightInd w:val="0"/>
              <w:spacing w:line="240" w:lineRule="auto"/>
              <w:contextualSpacing/>
              <w:jc w:val="left"/>
              <w:rPr>
                <w:rFonts w:hint="eastAsia" w:ascii="宋体" w:hAnsi="宋体"/>
                <w:b w:val="0"/>
                <w:bCs w:val="0"/>
                <w:sz w:val="24"/>
                <w:szCs w:val="24"/>
                <w:lang w:val="en-US" w:eastAsia="zh-CN"/>
              </w:rPr>
            </w:pPr>
            <w:r>
              <w:drawing>
                <wp:inline distT="0" distB="0" distL="114300" distR="114300">
                  <wp:extent cx="4864735" cy="2736215"/>
                  <wp:effectExtent l="0" t="0" r="1206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4864735" cy="2736215"/>
                          </a:xfrm>
                          <a:prstGeom prst="rect">
                            <a:avLst/>
                          </a:prstGeom>
                          <a:noFill/>
                          <a:ln>
                            <a:noFill/>
                          </a:ln>
                        </pic:spPr>
                      </pic:pic>
                    </a:graphicData>
                  </a:graphic>
                </wp:inline>
              </w:drawing>
            </w:r>
          </w:p>
          <w:p w14:paraId="74E7674E">
            <w:pPr>
              <w:numPr>
                <w:ilvl w:val="0"/>
                <w:numId w:val="2"/>
              </w:numPr>
              <w:autoSpaceDE w:val="0"/>
              <w:autoSpaceDN w:val="0"/>
              <w:adjustRightInd w:val="0"/>
              <w:spacing w:line="440" w:lineRule="exact"/>
              <w:contextualSpacing/>
              <w:jc w:val="left"/>
              <w:rPr>
                <w:rFonts w:hint="eastAsia" w:ascii="宋体" w:hAnsi="宋体"/>
                <w:b w:val="0"/>
                <w:bCs w:val="0"/>
                <w:sz w:val="24"/>
                <w:szCs w:val="24"/>
                <w:lang w:eastAsia="zh-CN"/>
              </w:rPr>
            </w:pPr>
            <w:r>
              <w:rPr>
                <w:rFonts w:hint="eastAsia" w:ascii="宋体" w:hAnsi="宋体"/>
                <w:b w:val="0"/>
                <w:bCs w:val="0"/>
                <w:sz w:val="24"/>
                <w:szCs w:val="24"/>
                <w:lang w:val="en-US" w:eastAsia="zh-CN"/>
              </w:rPr>
              <w:t>采购的垂柳</w:t>
            </w:r>
            <w:r>
              <w:rPr>
                <w:rFonts w:hint="eastAsia" w:ascii="宋体" w:hAnsi="宋体"/>
                <w:b w:val="0"/>
                <w:bCs w:val="0"/>
                <w:sz w:val="24"/>
                <w:szCs w:val="24"/>
                <w:lang w:eastAsia="zh-CN"/>
              </w:rPr>
              <w:t>树形、树貌参照图：</w:t>
            </w:r>
          </w:p>
          <w:p w14:paraId="0A025DC1">
            <w:pPr>
              <w:numPr>
                <w:ilvl w:val="0"/>
                <w:numId w:val="0"/>
              </w:numPr>
              <w:autoSpaceDE w:val="0"/>
              <w:autoSpaceDN w:val="0"/>
              <w:adjustRightInd w:val="0"/>
              <w:spacing w:line="240" w:lineRule="auto"/>
              <w:contextualSpacing/>
              <w:jc w:val="left"/>
              <w:rPr>
                <w:rFonts w:hint="default" w:ascii="宋体" w:hAnsi="宋体"/>
                <w:b w:val="0"/>
                <w:bCs w:val="0"/>
                <w:sz w:val="24"/>
                <w:szCs w:val="24"/>
                <w:lang w:val="en-US" w:eastAsia="zh-CN"/>
              </w:rPr>
            </w:pPr>
            <w:r>
              <w:rPr>
                <w:rFonts w:hint="default" w:ascii="宋体" w:hAnsi="宋体"/>
                <w:b w:val="0"/>
                <w:bCs w:val="0"/>
                <w:sz w:val="24"/>
                <w:szCs w:val="24"/>
                <w:lang w:val="en-US" w:eastAsia="zh-CN"/>
              </w:rPr>
              <w:drawing>
                <wp:inline distT="0" distB="0" distL="114300" distR="114300">
                  <wp:extent cx="2087245" cy="3710305"/>
                  <wp:effectExtent l="0" t="0" r="8255" b="4445"/>
                  <wp:docPr id="3" name="图片 3" descr="8530dd9dbb4538150d3eb6e47a882f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530dd9dbb4538150d3eb6e47a882f33"/>
                          <pic:cNvPicPr>
                            <a:picLocks noChangeAspect="1"/>
                          </pic:cNvPicPr>
                        </pic:nvPicPr>
                        <pic:blipFill>
                          <a:blip r:embed="rId6"/>
                          <a:stretch>
                            <a:fillRect/>
                          </a:stretch>
                        </pic:blipFill>
                        <pic:spPr>
                          <a:xfrm>
                            <a:off x="0" y="0"/>
                            <a:ext cx="2087245" cy="3710305"/>
                          </a:xfrm>
                          <a:prstGeom prst="rect">
                            <a:avLst/>
                          </a:prstGeom>
                        </pic:spPr>
                      </pic:pic>
                    </a:graphicData>
                  </a:graphic>
                </wp:inline>
              </w:drawing>
            </w:r>
            <w:r>
              <w:rPr>
                <w:rFonts w:hint="eastAsia" w:ascii="宋体" w:hAnsi="宋体"/>
                <w:b w:val="0"/>
                <w:bCs w:val="0"/>
                <w:sz w:val="24"/>
                <w:szCs w:val="24"/>
                <w:lang w:val="en-US" w:eastAsia="zh-CN"/>
              </w:rPr>
              <w:t xml:space="preserve"> </w:t>
            </w:r>
            <w:r>
              <w:rPr>
                <w:rFonts w:hint="default" w:ascii="宋体" w:hAnsi="宋体"/>
                <w:b w:val="0"/>
                <w:bCs w:val="0"/>
                <w:sz w:val="24"/>
                <w:szCs w:val="24"/>
                <w:lang w:val="en-US" w:eastAsia="zh-CN"/>
              </w:rPr>
              <w:drawing>
                <wp:inline distT="0" distB="0" distL="114300" distR="114300">
                  <wp:extent cx="2038350" cy="3623310"/>
                  <wp:effectExtent l="0" t="0" r="0" b="15240"/>
                  <wp:docPr id="4" name="图片 4" descr="40a1dcc5333a4d0e3e57797a3e80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0a1dcc5333a4d0e3e57797a3e802001"/>
                          <pic:cNvPicPr>
                            <a:picLocks noChangeAspect="1"/>
                          </pic:cNvPicPr>
                        </pic:nvPicPr>
                        <pic:blipFill>
                          <a:blip r:embed="rId7"/>
                          <a:stretch>
                            <a:fillRect/>
                          </a:stretch>
                        </pic:blipFill>
                        <pic:spPr>
                          <a:xfrm>
                            <a:off x="0" y="0"/>
                            <a:ext cx="2038350" cy="3623310"/>
                          </a:xfrm>
                          <a:prstGeom prst="rect">
                            <a:avLst/>
                          </a:prstGeom>
                        </pic:spPr>
                      </pic:pic>
                    </a:graphicData>
                  </a:graphic>
                </wp:inline>
              </w:drawing>
            </w:r>
          </w:p>
        </w:tc>
      </w:tr>
    </w:tbl>
    <w:p w14:paraId="6DCE59AF">
      <w:pPr>
        <w:pStyle w:val="10"/>
        <w:widowControl/>
        <w:spacing w:after="452" w:line="555" w:lineRule="atLeast"/>
        <w:rPr>
          <w:rStyle w:val="15"/>
          <w:rFonts w:hint="eastAsia" w:ascii="黑体" w:hAnsi="宋体" w:eastAsia="黑体" w:cs="黑体"/>
          <w:color w:val="333333"/>
          <w:sz w:val="28"/>
          <w:szCs w:val="28"/>
          <w:shd w:val="clear" w:color="auto" w:fill="FFFFFF"/>
        </w:rPr>
      </w:pPr>
    </w:p>
    <w:p w14:paraId="6E4A9BC0">
      <w:pPr>
        <w:pStyle w:val="10"/>
        <w:widowControl/>
        <w:spacing w:after="452" w:line="555" w:lineRule="atLeast"/>
        <w:rPr>
          <w:rStyle w:val="15"/>
          <w:rFonts w:hint="eastAsia" w:ascii="黑体" w:hAnsi="宋体" w:eastAsia="黑体" w:cs="黑体"/>
          <w:color w:val="333333"/>
          <w:sz w:val="28"/>
          <w:szCs w:val="28"/>
          <w:shd w:val="clear" w:color="auto" w:fill="FFFFFF"/>
        </w:rPr>
      </w:pPr>
    </w:p>
    <w:p w14:paraId="65CFF948">
      <w:pPr>
        <w:pStyle w:val="10"/>
        <w:widowControl/>
        <w:spacing w:after="452" w:line="555" w:lineRule="atLeast"/>
        <w:rPr>
          <w:rStyle w:val="15"/>
          <w:rFonts w:hint="eastAsia" w:ascii="黑体" w:hAnsi="宋体" w:eastAsia="黑体" w:cs="黑体"/>
          <w:color w:val="333333"/>
          <w:sz w:val="28"/>
          <w:szCs w:val="28"/>
          <w:shd w:val="clear" w:color="auto" w:fill="FFFFFF"/>
        </w:rPr>
      </w:pPr>
    </w:p>
    <w:p w14:paraId="3DF50E96">
      <w:pPr>
        <w:pStyle w:val="10"/>
        <w:widowControl/>
        <w:spacing w:after="452" w:line="555" w:lineRule="atLeast"/>
        <w:rPr>
          <w:rStyle w:val="15"/>
          <w:rFonts w:hint="eastAsia" w:ascii="黑体" w:hAnsi="宋体" w:eastAsia="黑体" w:cs="黑体"/>
          <w:color w:val="333333"/>
          <w:sz w:val="28"/>
          <w:szCs w:val="28"/>
          <w:shd w:val="clear" w:color="auto" w:fill="FFFFFF"/>
        </w:rPr>
      </w:pPr>
    </w:p>
    <w:p w14:paraId="3BFC8EC8">
      <w:pPr>
        <w:pStyle w:val="10"/>
        <w:widowControl/>
        <w:spacing w:after="452" w:line="555" w:lineRule="atLeast"/>
        <w:rPr>
          <w:rStyle w:val="15"/>
          <w:rFonts w:hint="eastAsia" w:ascii="黑体" w:hAnsi="宋体" w:eastAsia="黑体" w:cs="黑体"/>
          <w:color w:val="333333"/>
          <w:sz w:val="28"/>
          <w:szCs w:val="28"/>
          <w:shd w:val="clear" w:color="auto" w:fill="FFFFFF"/>
        </w:rPr>
      </w:pPr>
    </w:p>
    <w:p w14:paraId="13FAD826">
      <w:pPr>
        <w:pStyle w:val="10"/>
        <w:widowControl/>
        <w:spacing w:after="452" w:line="555" w:lineRule="atLeast"/>
        <w:rPr>
          <w:rStyle w:val="15"/>
          <w:rFonts w:hint="eastAsia" w:ascii="黑体" w:hAnsi="宋体" w:eastAsia="黑体" w:cs="黑体"/>
          <w:color w:val="333333"/>
          <w:sz w:val="28"/>
          <w:szCs w:val="28"/>
          <w:shd w:val="clear" w:color="auto" w:fill="FFFFFF"/>
        </w:rPr>
      </w:pPr>
    </w:p>
    <w:p w14:paraId="6270047F">
      <w:pPr>
        <w:pStyle w:val="10"/>
        <w:widowControl/>
        <w:spacing w:after="452" w:line="555" w:lineRule="atLeast"/>
        <w:rPr>
          <w:rStyle w:val="15"/>
          <w:rFonts w:hint="eastAsia" w:ascii="黑体" w:hAnsi="宋体" w:eastAsia="黑体" w:cs="黑体"/>
          <w:color w:val="333333"/>
          <w:sz w:val="28"/>
          <w:szCs w:val="28"/>
          <w:shd w:val="clear" w:color="auto" w:fill="FFFFFF"/>
        </w:rPr>
      </w:pPr>
    </w:p>
    <w:p w14:paraId="5FD9CE52">
      <w:pPr>
        <w:pStyle w:val="10"/>
        <w:widowControl/>
        <w:spacing w:after="452" w:line="555" w:lineRule="atLeast"/>
        <w:rPr>
          <w:rStyle w:val="15"/>
          <w:rFonts w:hint="eastAsia" w:ascii="黑体" w:hAnsi="宋体" w:eastAsia="黑体" w:cs="黑体"/>
          <w:color w:val="333333"/>
          <w:sz w:val="28"/>
          <w:szCs w:val="28"/>
          <w:shd w:val="clear" w:color="auto" w:fill="FFFFFF"/>
        </w:rPr>
      </w:pPr>
    </w:p>
    <w:p w14:paraId="1A01C718">
      <w:pPr>
        <w:spacing w:line="400" w:lineRule="exact"/>
        <w:jc w:val="center"/>
        <w:rPr>
          <w:rFonts w:ascii="方正小标宋简体" w:hAnsi="宋体" w:eastAsia="方正小标宋简体" w:cs="Times New Roman"/>
          <w:b/>
          <w:sz w:val="24"/>
          <w:szCs w:val="24"/>
        </w:rPr>
      </w:pPr>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2</w:t>
      </w:r>
      <w:r>
        <w:rPr>
          <w:rFonts w:hint="eastAsia" w:ascii="宋体" w:hAnsi="宋体" w:eastAsia="宋体" w:cs="Times New Roman"/>
          <w:b/>
          <w:sz w:val="24"/>
          <w:szCs w:val="24"/>
        </w:rPr>
        <w:t>：</w:t>
      </w:r>
      <w:r>
        <w:rPr>
          <w:rFonts w:hint="eastAsia" w:ascii="方正小标宋简体" w:hAnsi="宋体" w:eastAsia="方正小标宋简体" w:cs="Times New Roman"/>
          <w:b/>
          <w:sz w:val="24"/>
          <w:szCs w:val="24"/>
        </w:rPr>
        <w:t>采购需求及响应报价表</w:t>
      </w:r>
    </w:p>
    <w:p w14:paraId="120ACEA5">
      <w:pPr>
        <w:spacing w:line="360" w:lineRule="atLeast"/>
        <w:ind w:right="380"/>
        <w:rPr>
          <w:rFonts w:ascii="宋体" w:hAnsi="宋体" w:eastAsia="宋体" w:cs="Times New Roman"/>
          <w:b/>
          <w:bCs/>
          <w:szCs w:val="21"/>
        </w:rPr>
      </w:pPr>
      <w:r>
        <w:rPr>
          <w:rFonts w:hint="eastAsia" w:ascii="宋体" w:hAnsi="宋体" w:eastAsia="宋体" w:cs="Times New Roman"/>
          <w:b/>
          <w:bCs/>
          <w:sz w:val="24"/>
          <w:szCs w:val="24"/>
        </w:rPr>
        <w:t>项目名称:</w:t>
      </w:r>
      <w:r>
        <w:rPr>
          <w:rFonts w:hint="eastAsia"/>
        </w:rPr>
        <w:t xml:space="preserve"> </w:t>
      </w:r>
      <w:r>
        <w:rPr>
          <w:rFonts w:hint="eastAsia" w:ascii="宋体" w:hAnsi="宋体" w:eastAsia="宋体" w:cs="Times New Roman"/>
          <w:b/>
          <w:bCs/>
          <w:szCs w:val="24"/>
        </w:rPr>
        <w:t>广西中医药大学阿平湖周边柳树优化服务项目</w:t>
      </w:r>
    </w:p>
    <w:p w14:paraId="5FBC8BC7">
      <w:pPr>
        <w:spacing w:line="400" w:lineRule="exact"/>
        <w:rPr>
          <w:rFonts w:ascii="宋体" w:hAnsi="宋体" w:eastAsia="宋体" w:cs="Times New Roman"/>
          <w:b/>
          <w:color w:val="000000"/>
          <w:szCs w:val="21"/>
        </w:rPr>
      </w:pPr>
      <w:r>
        <w:rPr>
          <w:rFonts w:hint="eastAsia" w:ascii="宋体" w:hAnsi="宋体" w:eastAsia="宋体" w:cs="Times New Roman"/>
          <w:b/>
          <w:color w:val="000000"/>
          <w:szCs w:val="21"/>
        </w:rPr>
        <w:t>说明：</w:t>
      </w:r>
      <w:r>
        <w:rPr>
          <w:rFonts w:ascii="宋体" w:hAnsi="宋体" w:eastAsia="宋体" w:cs="Times New Roman"/>
          <w:b/>
          <w:bCs/>
          <w:szCs w:val="24"/>
        </w:rPr>
        <w:t>1.</w:t>
      </w:r>
      <w:r>
        <w:rPr>
          <w:rFonts w:hint="eastAsia" w:ascii="宋体" w:hAnsi="宋体" w:eastAsia="宋体" w:cs="Times New Roman"/>
          <w:b/>
          <w:szCs w:val="24"/>
        </w:rPr>
        <w:t>本需求</w:t>
      </w:r>
      <w:r>
        <w:rPr>
          <w:rFonts w:ascii="宋体" w:hAnsi="宋体" w:eastAsia="宋体" w:cs="Times New Roman"/>
          <w:b/>
          <w:bCs/>
          <w:szCs w:val="24"/>
        </w:rPr>
        <w:t>中</w:t>
      </w:r>
      <w:r>
        <w:rPr>
          <w:rFonts w:hint="eastAsia" w:ascii="宋体" w:hAnsi="宋体" w:eastAsia="宋体" w:cs="Times New Roman"/>
          <w:b/>
          <w:bCs/>
          <w:szCs w:val="24"/>
        </w:rPr>
        <w:t>的相关参数有</w:t>
      </w:r>
      <w:r>
        <w:rPr>
          <w:rFonts w:ascii="宋体" w:hAnsi="宋体" w:eastAsia="宋体" w:cs="Times New Roman"/>
          <w:b/>
          <w:bCs/>
          <w:szCs w:val="24"/>
        </w:rPr>
        <w:t>不明确或有误的，</w:t>
      </w:r>
      <w:r>
        <w:rPr>
          <w:rFonts w:hint="eastAsia" w:ascii="宋体" w:hAnsi="宋体" w:eastAsia="宋体" w:cs="Times New Roman"/>
          <w:b/>
          <w:bCs/>
          <w:szCs w:val="24"/>
        </w:rPr>
        <w:t>报价人</w:t>
      </w:r>
      <w:r>
        <w:rPr>
          <w:rFonts w:ascii="宋体" w:hAnsi="宋体" w:eastAsia="宋体" w:cs="Times New Roman"/>
          <w:b/>
          <w:bCs/>
          <w:szCs w:val="24"/>
        </w:rPr>
        <w:t>请以详细、正确的参数</w:t>
      </w:r>
      <w:r>
        <w:rPr>
          <w:rFonts w:hint="eastAsia" w:ascii="宋体" w:hAnsi="宋体" w:eastAsia="宋体" w:cs="Times New Roman"/>
          <w:b/>
          <w:bCs/>
          <w:szCs w:val="24"/>
        </w:rPr>
        <w:t>另做附件</w:t>
      </w:r>
      <w:r>
        <w:rPr>
          <w:rFonts w:ascii="宋体" w:hAnsi="宋体" w:eastAsia="宋体" w:cs="Times New Roman"/>
          <w:b/>
          <w:bCs/>
          <w:szCs w:val="24"/>
        </w:rPr>
        <w:t>。</w:t>
      </w:r>
    </w:p>
    <w:p w14:paraId="3058475B">
      <w:pPr>
        <w:numPr>
          <w:ilvl w:val="0"/>
          <w:numId w:val="3"/>
        </w:numPr>
        <w:spacing w:line="360" w:lineRule="exact"/>
        <w:ind w:left="619" w:leftChars="0" w:right="2" w:rightChars="1" w:firstLine="0" w:firstLineChars="0"/>
      </w:pPr>
      <w:r>
        <w:rPr>
          <w:rFonts w:hint="eastAsia" w:ascii="宋体" w:hAnsi="宋体" w:eastAsia="宋体" w:cs="Times New Roman"/>
          <w:b/>
          <w:bCs/>
          <w:szCs w:val="24"/>
        </w:rPr>
        <w:t>报价人必须自行为其报价产品或服务侵犯其他供应商担相应法律责任</w:t>
      </w:r>
      <w:r>
        <w:rPr>
          <w:rFonts w:hint="eastAsia" w:ascii="宋体" w:hAnsi="宋体" w:eastAsia="宋体" w:cs="Times New Roman"/>
          <w:b/>
          <w:bCs/>
          <w:szCs w:val="21"/>
        </w:rPr>
        <w:t>。</w:t>
      </w:r>
    </w:p>
    <w:tbl>
      <w:tblPr>
        <w:tblStyle w:val="12"/>
        <w:tblW w:w="98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87"/>
        <w:gridCol w:w="337"/>
        <w:gridCol w:w="652"/>
        <w:gridCol w:w="1500"/>
        <w:gridCol w:w="663"/>
        <w:gridCol w:w="612"/>
        <w:gridCol w:w="788"/>
        <w:gridCol w:w="1650"/>
        <w:gridCol w:w="3116"/>
      </w:tblGrid>
      <w:tr w14:paraId="7A870D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9805" w:type="dxa"/>
            <w:gridSpan w:val="9"/>
            <w:tcBorders>
              <w:top w:val="single" w:color="auto" w:sz="4" w:space="0"/>
              <w:left w:val="single" w:color="auto" w:sz="4" w:space="0"/>
              <w:bottom w:val="single" w:color="auto" w:sz="4" w:space="0"/>
              <w:right w:val="single" w:color="auto" w:sz="4" w:space="0"/>
            </w:tcBorders>
            <w:vAlign w:val="center"/>
          </w:tcPr>
          <w:p w14:paraId="65549FE5">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宋体" w:hAnsi="宋体" w:eastAsia="宋体" w:cs="Times New Roman"/>
                <w:b/>
                <w:szCs w:val="21"/>
              </w:rPr>
            </w:pPr>
            <w:r>
              <w:rPr>
                <w:rFonts w:hint="eastAsia" w:ascii="宋体" w:hAnsi="宋体" w:eastAsia="宋体" w:cs="Times New Roman"/>
                <w:b/>
                <w:szCs w:val="21"/>
              </w:rPr>
              <w:t>一、采购需求</w:t>
            </w:r>
          </w:p>
        </w:tc>
      </w:tr>
      <w:tr w14:paraId="247BA3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824" w:type="dxa"/>
            <w:gridSpan w:val="2"/>
            <w:tcBorders>
              <w:top w:val="single" w:color="auto" w:sz="4" w:space="0"/>
              <w:left w:val="single" w:color="auto" w:sz="4" w:space="0"/>
              <w:bottom w:val="single" w:color="auto" w:sz="4" w:space="0"/>
              <w:right w:val="single" w:color="auto" w:sz="4" w:space="0"/>
            </w:tcBorders>
            <w:vAlign w:val="center"/>
          </w:tcPr>
          <w:p w14:paraId="2A2943BF">
            <w:pPr>
              <w:spacing w:after="0" w:line="360" w:lineRule="auto"/>
              <w:jc w:val="center"/>
              <w:rPr>
                <w:rFonts w:ascii="宋体" w:hAnsi="宋体" w:eastAsia="宋体" w:cs="Times New Roman"/>
                <w:b/>
                <w:szCs w:val="21"/>
              </w:rPr>
            </w:pPr>
            <w:r>
              <w:rPr>
                <w:rFonts w:hint="eastAsia" w:ascii="宋体" w:hAnsi="宋体" w:eastAsia="宋体" w:cs="Times New Roman"/>
                <w:b/>
                <w:szCs w:val="21"/>
              </w:rPr>
              <w:t>序号</w:t>
            </w:r>
          </w:p>
        </w:tc>
        <w:tc>
          <w:tcPr>
            <w:tcW w:w="4215" w:type="dxa"/>
            <w:gridSpan w:val="5"/>
            <w:tcBorders>
              <w:top w:val="single" w:color="auto" w:sz="4" w:space="0"/>
              <w:left w:val="single" w:color="auto" w:sz="4" w:space="0"/>
              <w:bottom w:val="single" w:color="auto" w:sz="4" w:space="0"/>
              <w:right w:val="single" w:color="auto" w:sz="4" w:space="0"/>
            </w:tcBorders>
            <w:vAlign w:val="center"/>
          </w:tcPr>
          <w:p w14:paraId="0C18BAF3">
            <w:pPr>
              <w:spacing w:after="0" w:line="240" w:lineRule="auto"/>
              <w:jc w:val="center"/>
              <w:rPr>
                <w:rFonts w:hint="eastAsia" w:ascii="宋体" w:hAnsi="宋体" w:eastAsia="宋体" w:cs="Times New Roman"/>
                <w:b/>
                <w:szCs w:val="21"/>
              </w:rPr>
            </w:pPr>
            <w:r>
              <w:rPr>
                <w:rFonts w:hint="eastAsia" w:ascii="宋体" w:hAnsi="宋体" w:eastAsia="宋体" w:cs="Times New Roman"/>
                <w:b/>
                <w:szCs w:val="21"/>
              </w:rPr>
              <w:t>采购项目名称</w:t>
            </w:r>
          </w:p>
        </w:tc>
        <w:tc>
          <w:tcPr>
            <w:tcW w:w="1650" w:type="dxa"/>
            <w:tcBorders>
              <w:top w:val="single" w:color="auto" w:sz="4" w:space="0"/>
              <w:left w:val="single" w:color="auto" w:sz="4" w:space="0"/>
              <w:bottom w:val="single" w:color="auto" w:sz="4" w:space="0"/>
              <w:right w:val="single" w:color="auto" w:sz="4" w:space="0"/>
            </w:tcBorders>
            <w:vAlign w:val="center"/>
          </w:tcPr>
          <w:p w14:paraId="2BC8B779">
            <w:pPr>
              <w:spacing w:after="0" w:line="360" w:lineRule="auto"/>
              <w:jc w:val="center"/>
              <w:rPr>
                <w:rFonts w:ascii="宋体" w:hAnsi="宋体" w:eastAsia="宋体" w:cs="Times New Roman"/>
                <w:b/>
                <w:szCs w:val="21"/>
              </w:rPr>
            </w:pPr>
            <w:r>
              <w:rPr>
                <w:rFonts w:hint="eastAsia" w:ascii="宋体" w:hAnsi="宋体" w:eastAsia="宋体" w:cs="Times New Roman"/>
                <w:b/>
                <w:szCs w:val="21"/>
              </w:rPr>
              <w:t>数量单位</w:t>
            </w:r>
          </w:p>
        </w:tc>
        <w:tc>
          <w:tcPr>
            <w:tcW w:w="3116" w:type="dxa"/>
            <w:tcBorders>
              <w:top w:val="single" w:color="auto" w:sz="4" w:space="0"/>
              <w:left w:val="single" w:color="auto" w:sz="4" w:space="0"/>
              <w:bottom w:val="single" w:color="auto" w:sz="4" w:space="0"/>
              <w:right w:val="single" w:color="auto" w:sz="4" w:space="0"/>
            </w:tcBorders>
            <w:vAlign w:val="center"/>
          </w:tcPr>
          <w:p w14:paraId="4E336377">
            <w:pPr>
              <w:spacing w:after="0" w:line="360" w:lineRule="auto"/>
              <w:jc w:val="center"/>
              <w:rPr>
                <w:rFonts w:ascii="宋体" w:hAnsi="宋体" w:eastAsia="宋体" w:cs="Times New Roman"/>
                <w:b/>
                <w:szCs w:val="21"/>
              </w:rPr>
            </w:pPr>
            <w:r>
              <w:rPr>
                <w:rFonts w:hint="eastAsia" w:ascii="宋体" w:hAnsi="宋体" w:eastAsia="宋体" w:cs="Times New Roman"/>
                <w:b/>
                <w:szCs w:val="21"/>
              </w:rPr>
              <w:t>采购需求</w:t>
            </w:r>
          </w:p>
        </w:tc>
      </w:tr>
      <w:tr w14:paraId="5C71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jc w:val="center"/>
        </w:trPr>
        <w:tc>
          <w:tcPr>
            <w:tcW w:w="824" w:type="dxa"/>
            <w:gridSpan w:val="2"/>
            <w:tcBorders>
              <w:top w:val="single" w:color="auto" w:sz="4" w:space="0"/>
              <w:left w:val="single" w:color="auto" w:sz="4" w:space="0"/>
              <w:bottom w:val="single" w:color="auto" w:sz="4" w:space="0"/>
              <w:right w:val="single" w:color="auto" w:sz="4" w:space="0"/>
            </w:tcBorders>
            <w:vAlign w:val="center"/>
          </w:tcPr>
          <w:p w14:paraId="362EB741">
            <w:pPr>
              <w:spacing w:after="0" w:line="360" w:lineRule="auto"/>
              <w:jc w:val="center"/>
              <w:rPr>
                <w:rFonts w:ascii="宋体" w:hAnsi="宋体" w:eastAsia="宋体" w:cs="Times New Roman"/>
                <w:b/>
                <w:szCs w:val="21"/>
              </w:rPr>
            </w:pPr>
            <w:r>
              <w:rPr>
                <w:rFonts w:hint="eastAsia" w:ascii="宋体" w:hAnsi="宋体" w:eastAsia="宋体" w:cs="Times New Roman"/>
                <w:b/>
                <w:szCs w:val="21"/>
              </w:rPr>
              <w:t>1</w:t>
            </w:r>
          </w:p>
        </w:tc>
        <w:tc>
          <w:tcPr>
            <w:tcW w:w="4215" w:type="dxa"/>
            <w:gridSpan w:val="5"/>
            <w:tcBorders>
              <w:top w:val="single" w:color="auto" w:sz="4" w:space="0"/>
              <w:left w:val="single" w:color="auto" w:sz="4" w:space="0"/>
              <w:bottom w:val="single" w:color="auto" w:sz="4" w:space="0"/>
              <w:right w:val="single" w:color="auto" w:sz="4" w:space="0"/>
            </w:tcBorders>
            <w:vAlign w:val="center"/>
          </w:tcPr>
          <w:p w14:paraId="39391946">
            <w:pPr>
              <w:autoSpaceDE w:val="0"/>
              <w:autoSpaceDN w:val="0"/>
              <w:adjustRightInd w:val="0"/>
              <w:snapToGrid w:val="0"/>
              <w:spacing w:after="0"/>
              <w:rPr>
                <w:rFonts w:ascii="宋体" w:hAnsi="宋体" w:eastAsia="宋体" w:cs="Times New Roman"/>
                <w:szCs w:val="21"/>
              </w:rPr>
            </w:pPr>
            <w:r>
              <w:rPr>
                <w:rFonts w:hint="eastAsia" w:ascii="宋体" w:hAnsi="宋体" w:eastAsia="宋体" w:cs="Times New Roman"/>
                <w:szCs w:val="21"/>
              </w:rPr>
              <w:t>广西中医药大学阿平湖周边柳树优化服务</w:t>
            </w:r>
          </w:p>
        </w:tc>
        <w:tc>
          <w:tcPr>
            <w:tcW w:w="1650" w:type="dxa"/>
            <w:tcBorders>
              <w:top w:val="single" w:color="auto" w:sz="4" w:space="0"/>
              <w:left w:val="single" w:color="auto" w:sz="4" w:space="0"/>
              <w:bottom w:val="single" w:color="auto" w:sz="4" w:space="0"/>
              <w:right w:val="single" w:color="auto" w:sz="4" w:space="0"/>
            </w:tcBorders>
            <w:vAlign w:val="center"/>
          </w:tcPr>
          <w:p w14:paraId="5E8B520B">
            <w:pPr>
              <w:spacing w:after="0" w:line="360" w:lineRule="auto"/>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项</w:t>
            </w:r>
          </w:p>
        </w:tc>
        <w:tc>
          <w:tcPr>
            <w:tcW w:w="3116" w:type="dxa"/>
            <w:tcBorders>
              <w:top w:val="single" w:color="auto" w:sz="4" w:space="0"/>
              <w:left w:val="single" w:color="auto" w:sz="4" w:space="0"/>
              <w:bottom w:val="single" w:color="auto" w:sz="4" w:space="0"/>
              <w:right w:val="single" w:color="auto" w:sz="4" w:space="0"/>
            </w:tcBorders>
            <w:vAlign w:val="center"/>
          </w:tcPr>
          <w:p w14:paraId="21D75201">
            <w:pPr>
              <w:autoSpaceDE w:val="0"/>
              <w:autoSpaceDN w:val="0"/>
              <w:adjustRightInd w:val="0"/>
              <w:spacing w:after="0" w:line="360" w:lineRule="auto"/>
              <w:jc w:val="left"/>
              <w:rPr>
                <w:rFonts w:ascii="宋体" w:hAnsi="宋体" w:eastAsia="宋体" w:cs="Times New Roman"/>
                <w:szCs w:val="21"/>
              </w:rPr>
            </w:pPr>
            <w:r>
              <w:rPr>
                <w:rFonts w:hint="eastAsia" w:ascii="宋体" w:hAnsi="宋体" w:eastAsia="宋体" w:cs="Times New Roman"/>
                <w:szCs w:val="21"/>
              </w:rPr>
              <w:t>详见附件3：采购需求</w:t>
            </w:r>
          </w:p>
        </w:tc>
      </w:tr>
      <w:tr w14:paraId="7BF102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9805" w:type="dxa"/>
            <w:gridSpan w:val="9"/>
            <w:tcBorders>
              <w:top w:val="single" w:color="auto" w:sz="4" w:space="0"/>
              <w:left w:val="single" w:color="auto" w:sz="4" w:space="0"/>
              <w:bottom w:val="single" w:color="auto" w:sz="4" w:space="0"/>
              <w:right w:val="single" w:color="auto" w:sz="4" w:space="0"/>
            </w:tcBorders>
          </w:tcPr>
          <w:p w14:paraId="120599FC">
            <w:pPr>
              <w:autoSpaceDE w:val="0"/>
              <w:autoSpaceDN w:val="0"/>
              <w:adjustRightInd w:val="0"/>
              <w:spacing w:after="0" w:line="360" w:lineRule="auto"/>
              <w:jc w:val="left"/>
              <w:rPr>
                <w:rFonts w:ascii="宋体" w:hAnsi="宋体" w:eastAsia="宋体" w:cs="宋体"/>
                <w:b/>
                <w:kern w:val="0"/>
                <w:szCs w:val="21"/>
              </w:rPr>
            </w:pPr>
            <w:r>
              <w:rPr>
                <w:rFonts w:hint="eastAsia" w:ascii="宋体" w:hAnsi="宋体" w:eastAsia="宋体" w:cs="TimesNewRomanPSMT"/>
                <w:b/>
                <w:kern w:val="0"/>
                <w:szCs w:val="21"/>
              </w:rPr>
              <w:t>二、供应商响应情况</w:t>
            </w:r>
          </w:p>
        </w:tc>
      </w:tr>
      <w:tr w14:paraId="24E2F4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9805" w:type="dxa"/>
            <w:gridSpan w:val="9"/>
            <w:tcBorders>
              <w:top w:val="single" w:color="auto" w:sz="4" w:space="0"/>
              <w:left w:val="single" w:color="auto" w:sz="4" w:space="0"/>
              <w:bottom w:val="single" w:color="auto" w:sz="4" w:space="0"/>
              <w:right w:val="single" w:color="auto" w:sz="4" w:space="0"/>
            </w:tcBorders>
          </w:tcPr>
          <w:p w14:paraId="680863A1">
            <w:pPr>
              <w:autoSpaceDE w:val="0"/>
              <w:autoSpaceDN w:val="0"/>
              <w:adjustRightInd w:val="0"/>
              <w:spacing w:after="0" w:line="360" w:lineRule="auto"/>
              <w:jc w:val="left"/>
              <w:rPr>
                <w:rFonts w:hint="default" w:ascii="宋体" w:hAnsi="宋体" w:eastAsia="宋体" w:cs="TimesNewRomanPSMT"/>
                <w:kern w:val="0"/>
                <w:szCs w:val="21"/>
                <w:lang w:val="en-US" w:eastAsia="zh-CN"/>
              </w:rPr>
            </w:pPr>
            <w:r>
              <w:rPr>
                <w:rFonts w:hint="eastAsia" w:ascii="宋体" w:hAnsi="宋体" w:eastAsia="宋体" w:cs="TimesNewRomanPSMT"/>
                <w:kern w:val="0"/>
                <w:szCs w:val="21"/>
                <w:lang w:val="en-US" w:eastAsia="zh-CN"/>
              </w:rPr>
              <w:t>附件3</w:t>
            </w:r>
            <w:r>
              <w:rPr>
                <w:rFonts w:hint="eastAsia" w:ascii="宋体" w:hAnsi="宋体" w:eastAsia="宋体" w:cs="TimesNewRomanPSMT"/>
                <w:kern w:val="0"/>
                <w:szCs w:val="21"/>
              </w:rPr>
              <w:t>参数响应情况</w:t>
            </w:r>
            <w:r>
              <w:rPr>
                <w:rFonts w:hint="eastAsia" w:ascii="宋体" w:hAnsi="宋体" w:eastAsia="宋体" w:cs="TimesNewRomanPSMT"/>
                <w:kern w:val="0"/>
                <w:szCs w:val="21"/>
                <w:lang w:eastAsia="zh-CN"/>
              </w:rPr>
              <w:t>：</w:t>
            </w:r>
            <w:r>
              <w:rPr>
                <w:rFonts w:hint="eastAsia" w:ascii="宋体" w:hAnsi="宋体" w:eastAsia="宋体" w:cs="TimesNewRomanPSMT"/>
                <w:kern w:val="0"/>
                <w:szCs w:val="21"/>
                <w:lang w:val="en-US" w:eastAsia="zh-CN"/>
              </w:rPr>
              <w:t>无偏离</w:t>
            </w:r>
            <w:r>
              <w:rPr>
                <w:rFonts w:hint="eastAsia" w:ascii="宋体" w:hAnsi="宋体" w:eastAsia="宋体" w:cs="TimesNewRomanPSMT"/>
                <w:kern w:val="0"/>
                <w:szCs w:val="21"/>
              </w:rPr>
              <w:t xml:space="preserve"> ；  </w:t>
            </w:r>
            <w:r>
              <w:rPr>
                <w:rFonts w:hint="eastAsia" w:ascii="宋体" w:hAnsi="宋体" w:eastAsia="宋体" w:cs="TimesNewRomanPSMT"/>
                <w:kern w:val="0"/>
                <w:szCs w:val="21"/>
                <w:lang w:val="en-US" w:eastAsia="zh-CN"/>
              </w:rPr>
              <w:t xml:space="preserve">   </w:t>
            </w:r>
            <w:r>
              <w:rPr>
                <w:rFonts w:hint="eastAsia" w:ascii="宋体" w:hAnsi="宋体" w:eastAsia="宋体" w:cs="TimesNewRomanPSMT"/>
                <w:kern w:val="0"/>
                <w:szCs w:val="21"/>
              </w:rPr>
              <w:t xml:space="preserve">  商务响应情况</w:t>
            </w:r>
            <w:r>
              <w:rPr>
                <w:rFonts w:hint="eastAsia" w:ascii="宋体" w:hAnsi="宋体" w:eastAsia="宋体" w:cs="TimesNewRomanPSMT"/>
                <w:kern w:val="0"/>
                <w:szCs w:val="21"/>
                <w:lang w:eastAsia="zh-CN"/>
              </w:rPr>
              <w:t>：</w:t>
            </w:r>
            <w:r>
              <w:rPr>
                <w:rFonts w:hint="eastAsia" w:ascii="宋体" w:hAnsi="宋体" w:eastAsia="宋体" w:cs="TimesNewRomanPSMT"/>
                <w:kern w:val="0"/>
                <w:szCs w:val="21"/>
                <w:lang w:val="en-US" w:eastAsia="zh-CN"/>
              </w:rPr>
              <w:t xml:space="preserve">无偏离         </w:t>
            </w:r>
          </w:p>
        </w:tc>
      </w:tr>
      <w:tr w14:paraId="370EE6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9805" w:type="dxa"/>
            <w:gridSpan w:val="9"/>
            <w:tcBorders>
              <w:top w:val="single" w:color="auto" w:sz="4" w:space="0"/>
              <w:left w:val="single" w:color="auto" w:sz="4" w:space="0"/>
              <w:bottom w:val="single" w:color="auto" w:sz="4" w:space="0"/>
              <w:right w:val="single" w:color="auto" w:sz="4" w:space="0"/>
            </w:tcBorders>
          </w:tcPr>
          <w:p w14:paraId="31DAEEFB">
            <w:pPr>
              <w:tabs>
                <w:tab w:val="left" w:pos="1820"/>
              </w:tabs>
              <w:spacing w:after="0" w:line="360" w:lineRule="auto"/>
              <w:rPr>
                <w:rFonts w:ascii="宋体" w:hAnsi="宋体" w:eastAsia="宋体" w:cs="Courier New"/>
                <w:b/>
                <w:szCs w:val="21"/>
              </w:rPr>
            </w:pPr>
            <w:r>
              <w:rPr>
                <w:rFonts w:hint="eastAsia" w:ascii="宋体" w:hAnsi="宋体" w:eastAsia="宋体" w:cs="Times New Roman"/>
                <w:b/>
                <w:szCs w:val="21"/>
              </w:rPr>
              <w:t>三、供应商报价（必要时可另附清单）</w:t>
            </w:r>
          </w:p>
        </w:tc>
      </w:tr>
      <w:tr w14:paraId="7F5C81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1" w:hRule="atLeast"/>
          <w:jc w:val="center"/>
        </w:trPr>
        <w:tc>
          <w:tcPr>
            <w:tcW w:w="9805" w:type="dxa"/>
            <w:gridSpan w:val="9"/>
            <w:tcBorders>
              <w:top w:val="single" w:color="auto" w:sz="4" w:space="0"/>
              <w:left w:val="single" w:color="auto" w:sz="4" w:space="0"/>
              <w:bottom w:val="single" w:color="auto" w:sz="4" w:space="0"/>
              <w:right w:val="single" w:color="auto" w:sz="4" w:space="0"/>
            </w:tcBorders>
            <w:vAlign w:val="center"/>
          </w:tcPr>
          <w:p w14:paraId="51B09BF9">
            <w:pPr>
              <w:keepNext w:val="0"/>
              <w:keepLines w:val="0"/>
              <w:pageBreakBefore w:val="0"/>
              <w:widowControl w:val="0"/>
              <w:tabs>
                <w:tab w:val="left" w:pos="1820"/>
              </w:tabs>
              <w:kinsoku/>
              <w:wordWrap/>
              <w:overflowPunct/>
              <w:topLinePunct w:val="0"/>
              <w:autoSpaceDE/>
              <w:autoSpaceDN/>
              <w:bidi w:val="0"/>
              <w:adjustRightInd/>
              <w:snapToGrid/>
              <w:spacing w:after="0" w:line="240" w:lineRule="auto"/>
              <w:jc w:val="left"/>
              <w:textAlignment w:val="auto"/>
              <w:rPr>
                <w:rFonts w:ascii="宋体" w:hAnsi="宋体" w:eastAsia="宋体" w:cs="Times New Roman"/>
                <w:szCs w:val="21"/>
              </w:rPr>
            </w:pPr>
            <w:r>
              <w:rPr>
                <w:rFonts w:hint="eastAsia" w:ascii="宋体" w:hAnsi="宋体" w:eastAsia="宋体" w:cs="Times New Roman"/>
                <w:b/>
                <w:szCs w:val="21"/>
              </w:rPr>
              <w:t>报价说明</w:t>
            </w:r>
            <w:r>
              <w:rPr>
                <w:rFonts w:hint="eastAsia" w:ascii="宋体" w:hAnsi="宋体" w:eastAsia="宋体" w:cs="Times New Roman"/>
                <w:szCs w:val="21"/>
              </w:rPr>
              <w:t>：报价总价须包含如</w:t>
            </w:r>
            <w:r>
              <w:rPr>
                <w:rFonts w:hint="eastAsia" w:ascii="宋体" w:hAnsi="宋体" w:eastAsia="宋体" w:cs="Times New Roman"/>
                <w:szCs w:val="21"/>
                <w:lang w:val="en-US" w:eastAsia="zh-CN"/>
              </w:rPr>
              <w:t>迁移和采购苗木</w:t>
            </w:r>
            <w:r>
              <w:rPr>
                <w:rFonts w:hint="eastAsia" w:ascii="宋体" w:hAnsi="宋体" w:eastAsia="宋体" w:cs="Times New Roman"/>
                <w:szCs w:val="21"/>
              </w:rPr>
              <w:t>、运输费、装卸费、安装费、</w:t>
            </w:r>
            <w:r>
              <w:rPr>
                <w:rFonts w:hint="eastAsia" w:ascii="宋体" w:hAnsi="宋体" w:eastAsia="宋体" w:cs="Times New Roman"/>
                <w:szCs w:val="21"/>
                <w:lang w:val="en-US" w:eastAsia="zh-CN"/>
              </w:rPr>
              <w:t>1年养护费（包活）</w:t>
            </w:r>
            <w:r>
              <w:rPr>
                <w:rFonts w:hint="eastAsia" w:ascii="宋体" w:hAnsi="宋体" w:eastAsia="宋体" w:cs="Times New Roman"/>
                <w:szCs w:val="21"/>
              </w:rPr>
              <w:t>等全部费用。</w:t>
            </w:r>
          </w:p>
        </w:tc>
      </w:tr>
      <w:tr w14:paraId="4CA999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487" w:type="dxa"/>
            <w:tcBorders>
              <w:top w:val="single" w:color="auto" w:sz="4" w:space="0"/>
              <w:left w:val="single" w:color="auto" w:sz="4" w:space="0"/>
              <w:bottom w:val="single" w:color="auto" w:sz="4" w:space="0"/>
              <w:right w:val="single" w:color="auto" w:sz="4" w:space="0"/>
            </w:tcBorders>
            <w:vAlign w:val="center"/>
          </w:tcPr>
          <w:p w14:paraId="1AF39B48">
            <w:pPr>
              <w:keepNext w:val="0"/>
              <w:keepLines w:val="0"/>
              <w:pageBreakBefore w:val="0"/>
              <w:widowControl/>
              <w:kinsoku/>
              <w:wordWrap/>
              <w:overflowPunct/>
              <w:topLinePunct w:val="0"/>
              <w:autoSpaceDE/>
              <w:autoSpaceDN/>
              <w:bidi w:val="0"/>
              <w:adjustRightInd/>
              <w:snapToGrid/>
              <w:spacing w:after="0"/>
              <w:jc w:val="center"/>
              <w:textAlignment w:val="center"/>
              <w:rPr>
                <w:rFonts w:ascii="宋体" w:hAnsi="宋体" w:eastAsia="宋体" w:cs="宋体"/>
                <w:b/>
                <w:color w:val="000000"/>
                <w:szCs w:val="21"/>
              </w:rPr>
            </w:pPr>
            <w:r>
              <w:rPr>
                <w:rFonts w:hint="eastAsia" w:ascii="宋体" w:hAnsi="宋体" w:eastAsia="宋体" w:cs="宋体"/>
                <w:b/>
                <w:color w:val="000000"/>
                <w:szCs w:val="21"/>
              </w:rPr>
              <w:t>序号</w:t>
            </w:r>
          </w:p>
        </w:tc>
        <w:tc>
          <w:tcPr>
            <w:tcW w:w="989" w:type="dxa"/>
            <w:gridSpan w:val="2"/>
            <w:tcBorders>
              <w:top w:val="single" w:color="auto" w:sz="4" w:space="0"/>
              <w:left w:val="single" w:color="auto" w:sz="4" w:space="0"/>
              <w:bottom w:val="single" w:color="auto" w:sz="4" w:space="0"/>
              <w:right w:val="single" w:color="auto" w:sz="4" w:space="0"/>
            </w:tcBorders>
            <w:vAlign w:val="center"/>
          </w:tcPr>
          <w:p w14:paraId="0E98E104">
            <w:pPr>
              <w:keepNext w:val="0"/>
              <w:keepLines w:val="0"/>
              <w:pageBreakBefore w:val="0"/>
              <w:widowControl/>
              <w:kinsoku/>
              <w:wordWrap/>
              <w:overflowPunct/>
              <w:topLinePunct w:val="0"/>
              <w:autoSpaceDE/>
              <w:autoSpaceDN/>
              <w:bidi w:val="0"/>
              <w:adjustRightInd/>
              <w:snapToGrid/>
              <w:spacing w:after="0"/>
              <w:jc w:val="center"/>
              <w:textAlignment w:val="center"/>
              <w:rPr>
                <w:rFonts w:ascii="宋体" w:hAnsi="宋体" w:eastAsia="宋体" w:cs="宋体"/>
                <w:b/>
                <w:color w:val="000000"/>
                <w:szCs w:val="21"/>
              </w:rPr>
            </w:pPr>
            <w:r>
              <w:rPr>
                <w:rFonts w:hint="eastAsia" w:ascii="宋体" w:hAnsi="宋体" w:eastAsia="宋体" w:cs="宋体"/>
                <w:b/>
                <w:color w:val="000000"/>
                <w:szCs w:val="21"/>
              </w:rPr>
              <w:t>名称</w:t>
            </w:r>
          </w:p>
        </w:tc>
        <w:tc>
          <w:tcPr>
            <w:tcW w:w="1500" w:type="dxa"/>
            <w:tcBorders>
              <w:top w:val="single" w:color="auto" w:sz="4" w:space="0"/>
              <w:left w:val="single" w:color="auto" w:sz="4" w:space="0"/>
              <w:bottom w:val="single" w:color="auto" w:sz="4" w:space="0"/>
              <w:right w:val="single" w:color="auto" w:sz="4" w:space="0"/>
            </w:tcBorders>
            <w:vAlign w:val="center"/>
          </w:tcPr>
          <w:p w14:paraId="5EFD1658">
            <w:pPr>
              <w:keepNext w:val="0"/>
              <w:keepLines w:val="0"/>
              <w:pageBreakBefore w:val="0"/>
              <w:widowControl/>
              <w:kinsoku/>
              <w:wordWrap/>
              <w:overflowPunct/>
              <w:topLinePunct w:val="0"/>
              <w:autoSpaceDE/>
              <w:autoSpaceDN/>
              <w:bidi w:val="0"/>
              <w:adjustRightInd/>
              <w:snapToGrid/>
              <w:spacing w:after="0"/>
              <w:jc w:val="center"/>
              <w:textAlignment w:val="center"/>
              <w:rPr>
                <w:rFonts w:hint="eastAsia" w:ascii="宋体" w:hAnsi="宋体" w:eastAsia="宋体" w:cs="宋体"/>
                <w:b/>
                <w:color w:val="000000"/>
                <w:szCs w:val="21"/>
                <w:lang w:eastAsia="zh-CN"/>
              </w:rPr>
            </w:pPr>
            <w:r>
              <w:rPr>
                <w:rFonts w:hint="eastAsia" w:ascii="宋体" w:hAnsi="宋体" w:eastAsia="宋体" w:cs="宋体"/>
                <w:b/>
                <w:color w:val="000000"/>
                <w:szCs w:val="21"/>
                <w:lang w:val="en-US" w:eastAsia="zh-CN"/>
              </w:rPr>
              <w:t>服务内容</w:t>
            </w:r>
          </w:p>
        </w:tc>
        <w:tc>
          <w:tcPr>
            <w:tcW w:w="663" w:type="dxa"/>
            <w:tcBorders>
              <w:top w:val="single" w:color="auto" w:sz="4" w:space="0"/>
              <w:left w:val="single" w:color="auto" w:sz="4" w:space="0"/>
              <w:bottom w:val="single" w:color="auto" w:sz="4" w:space="0"/>
              <w:right w:val="single" w:color="auto" w:sz="4" w:space="0"/>
            </w:tcBorders>
            <w:vAlign w:val="center"/>
          </w:tcPr>
          <w:p w14:paraId="19FD1159">
            <w:pPr>
              <w:keepNext w:val="0"/>
              <w:keepLines w:val="0"/>
              <w:pageBreakBefore w:val="0"/>
              <w:widowControl/>
              <w:kinsoku/>
              <w:wordWrap/>
              <w:overflowPunct/>
              <w:topLinePunct w:val="0"/>
              <w:autoSpaceDE/>
              <w:autoSpaceDN/>
              <w:bidi w:val="0"/>
              <w:adjustRightInd/>
              <w:snapToGrid/>
              <w:spacing w:after="0"/>
              <w:jc w:val="center"/>
              <w:textAlignment w:val="center"/>
              <w:rPr>
                <w:rFonts w:ascii="宋体" w:hAnsi="宋体" w:eastAsia="宋体" w:cs="宋体"/>
                <w:b/>
                <w:color w:val="000000"/>
                <w:szCs w:val="21"/>
              </w:rPr>
            </w:pPr>
            <w:r>
              <w:rPr>
                <w:rFonts w:hint="eastAsia" w:ascii="宋体" w:hAnsi="宋体" w:eastAsia="宋体" w:cs="宋体"/>
                <w:b/>
                <w:color w:val="000000"/>
                <w:kern w:val="0"/>
                <w:szCs w:val="21"/>
              </w:rPr>
              <w:t>计量单位</w:t>
            </w:r>
          </w:p>
        </w:tc>
        <w:tc>
          <w:tcPr>
            <w:tcW w:w="612" w:type="dxa"/>
            <w:tcBorders>
              <w:top w:val="single" w:color="auto" w:sz="4" w:space="0"/>
              <w:left w:val="single" w:color="auto" w:sz="4" w:space="0"/>
              <w:bottom w:val="single" w:color="auto" w:sz="4" w:space="0"/>
              <w:right w:val="single" w:color="auto" w:sz="4" w:space="0"/>
            </w:tcBorders>
            <w:vAlign w:val="center"/>
          </w:tcPr>
          <w:p w14:paraId="1C8F5455">
            <w:pPr>
              <w:keepNext w:val="0"/>
              <w:keepLines w:val="0"/>
              <w:pageBreakBefore w:val="0"/>
              <w:widowControl/>
              <w:kinsoku/>
              <w:wordWrap/>
              <w:overflowPunct/>
              <w:topLinePunct w:val="0"/>
              <w:autoSpaceDE/>
              <w:autoSpaceDN/>
              <w:bidi w:val="0"/>
              <w:adjustRightInd/>
              <w:snapToGrid/>
              <w:spacing w:after="0"/>
              <w:jc w:val="center"/>
              <w:textAlignment w:val="center"/>
              <w:rPr>
                <w:rFonts w:ascii="宋体" w:hAnsi="宋体" w:eastAsia="宋体" w:cs="宋体"/>
                <w:b/>
                <w:color w:val="000000"/>
                <w:szCs w:val="21"/>
              </w:rPr>
            </w:pPr>
            <w:r>
              <w:rPr>
                <w:rFonts w:hint="eastAsia" w:ascii="宋体" w:hAnsi="宋体" w:eastAsia="宋体" w:cs="宋体"/>
                <w:b/>
                <w:color w:val="000000"/>
                <w:kern w:val="0"/>
                <w:szCs w:val="21"/>
              </w:rPr>
              <w:t>总量</w:t>
            </w:r>
          </w:p>
        </w:tc>
        <w:tc>
          <w:tcPr>
            <w:tcW w:w="788" w:type="dxa"/>
            <w:tcBorders>
              <w:top w:val="single" w:color="auto" w:sz="4" w:space="0"/>
              <w:left w:val="single" w:color="auto" w:sz="4" w:space="0"/>
              <w:bottom w:val="single" w:color="auto" w:sz="4" w:space="0"/>
              <w:right w:val="single" w:color="auto" w:sz="4" w:space="0"/>
            </w:tcBorders>
            <w:vAlign w:val="center"/>
          </w:tcPr>
          <w:p w14:paraId="41A301EB">
            <w:pPr>
              <w:keepNext w:val="0"/>
              <w:keepLines w:val="0"/>
              <w:pageBreakBefore w:val="0"/>
              <w:widowControl/>
              <w:kinsoku/>
              <w:wordWrap/>
              <w:overflowPunct/>
              <w:topLinePunct w:val="0"/>
              <w:autoSpaceDE/>
              <w:autoSpaceDN/>
              <w:bidi w:val="0"/>
              <w:adjustRightInd/>
              <w:snapToGrid/>
              <w:spacing w:after="0"/>
              <w:jc w:val="center"/>
              <w:textAlignment w:val="center"/>
              <w:rPr>
                <w:rFonts w:ascii="宋体" w:hAnsi="宋体" w:eastAsia="宋体" w:cs="宋体"/>
                <w:b/>
                <w:color w:val="000000"/>
                <w:szCs w:val="21"/>
              </w:rPr>
            </w:pPr>
            <w:r>
              <w:rPr>
                <w:rFonts w:hint="eastAsia" w:ascii="宋体" w:hAnsi="宋体" w:eastAsia="宋体" w:cs="宋体"/>
                <w:b/>
                <w:color w:val="000000"/>
                <w:kern w:val="0"/>
                <w:szCs w:val="21"/>
              </w:rPr>
              <w:t>单价/元</w:t>
            </w:r>
          </w:p>
        </w:tc>
        <w:tc>
          <w:tcPr>
            <w:tcW w:w="1650" w:type="dxa"/>
            <w:tcBorders>
              <w:top w:val="single" w:color="auto" w:sz="4" w:space="0"/>
              <w:left w:val="single" w:color="auto" w:sz="4" w:space="0"/>
              <w:bottom w:val="single" w:color="auto" w:sz="4" w:space="0"/>
              <w:right w:val="single" w:color="auto" w:sz="4" w:space="0"/>
            </w:tcBorders>
            <w:vAlign w:val="center"/>
          </w:tcPr>
          <w:p w14:paraId="258D6153">
            <w:pPr>
              <w:keepNext w:val="0"/>
              <w:keepLines w:val="0"/>
              <w:pageBreakBefore w:val="0"/>
              <w:widowControl/>
              <w:kinsoku/>
              <w:wordWrap/>
              <w:overflowPunct/>
              <w:topLinePunct w:val="0"/>
              <w:autoSpaceDE/>
              <w:autoSpaceDN/>
              <w:bidi w:val="0"/>
              <w:adjustRightInd/>
              <w:snapToGrid/>
              <w:spacing w:after="0" w:line="240" w:lineRule="auto"/>
              <w:contextualSpacing/>
              <w:jc w:val="center"/>
              <w:textAlignment w:val="center"/>
              <w:rPr>
                <w:rFonts w:ascii="宋体" w:hAnsi="宋体" w:eastAsia="宋体" w:cs="宋体"/>
                <w:b/>
                <w:color w:val="000000"/>
                <w:kern w:val="0"/>
                <w:szCs w:val="21"/>
              </w:rPr>
            </w:pPr>
            <w:r>
              <w:rPr>
                <w:rFonts w:hint="eastAsia" w:ascii="宋体" w:hAnsi="宋体" w:eastAsia="宋体" w:cs="宋体"/>
                <w:b/>
                <w:color w:val="000000"/>
                <w:kern w:val="0"/>
                <w:szCs w:val="21"/>
              </w:rPr>
              <w:t>合计（元）</w:t>
            </w:r>
          </w:p>
          <w:p w14:paraId="3BDB7589">
            <w:pPr>
              <w:keepNext w:val="0"/>
              <w:keepLines w:val="0"/>
              <w:pageBreakBefore w:val="0"/>
              <w:widowControl/>
              <w:kinsoku/>
              <w:wordWrap/>
              <w:overflowPunct/>
              <w:topLinePunct w:val="0"/>
              <w:autoSpaceDE/>
              <w:autoSpaceDN/>
              <w:bidi w:val="0"/>
              <w:adjustRightInd/>
              <w:snapToGrid/>
              <w:spacing w:after="0" w:line="240" w:lineRule="auto"/>
              <w:contextualSpacing/>
              <w:jc w:val="center"/>
              <w:textAlignment w:val="center"/>
              <w:rPr>
                <w:rFonts w:ascii="宋体" w:hAnsi="宋体" w:eastAsia="宋体" w:cs="宋体"/>
                <w:b/>
                <w:color w:val="000000"/>
                <w:szCs w:val="21"/>
              </w:rPr>
            </w:pPr>
            <w:r>
              <w:rPr>
                <w:rFonts w:hint="eastAsia" w:ascii="宋体" w:hAnsi="宋体" w:eastAsia="宋体" w:cs="宋体"/>
                <w:b/>
                <w:color w:val="000000"/>
                <w:kern w:val="0"/>
                <w:szCs w:val="21"/>
              </w:rPr>
              <w:t>（总量×单价）</w:t>
            </w:r>
          </w:p>
        </w:tc>
        <w:tc>
          <w:tcPr>
            <w:tcW w:w="3116" w:type="dxa"/>
            <w:tcBorders>
              <w:top w:val="single" w:color="auto" w:sz="4" w:space="0"/>
              <w:left w:val="single" w:color="auto" w:sz="4" w:space="0"/>
              <w:bottom w:val="single" w:color="auto" w:sz="4" w:space="0"/>
              <w:right w:val="single" w:color="auto" w:sz="4" w:space="0"/>
            </w:tcBorders>
            <w:vAlign w:val="center"/>
          </w:tcPr>
          <w:p w14:paraId="394E13C9">
            <w:pPr>
              <w:keepNext w:val="0"/>
              <w:keepLines w:val="0"/>
              <w:pageBreakBefore w:val="0"/>
              <w:widowControl/>
              <w:kinsoku/>
              <w:wordWrap/>
              <w:overflowPunct/>
              <w:topLinePunct w:val="0"/>
              <w:autoSpaceDE/>
              <w:autoSpaceDN/>
              <w:bidi w:val="0"/>
              <w:adjustRightInd/>
              <w:snapToGrid/>
              <w:spacing w:after="0" w:line="240" w:lineRule="auto"/>
              <w:contextualSpacing/>
              <w:jc w:val="center"/>
              <w:textAlignment w:val="center"/>
              <w:rPr>
                <w:rFonts w:hint="eastAsia" w:ascii="宋体" w:hAnsi="宋体" w:eastAsia="宋体" w:cs="宋体"/>
                <w:b/>
                <w:color w:val="000000"/>
                <w:kern w:val="0"/>
                <w:szCs w:val="21"/>
                <w:lang w:val="en-US" w:eastAsia="zh-CN"/>
              </w:rPr>
            </w:pPr>
            <w:r>
              <w:rPr>
                <w:rFonts w:hint="eastAsia" w:ascii="宋体" w:hAnsi="宋体" w:eastAsia="宋体" w:cs="宋体"/>
                <w:b/>
                <w:color w:val="000000"/>
                <w:kern w:val="0"/>
                <w:szCs w:val="21"/>
                <w:lang w:val="en-US" w:eastAsia="zh-CN"/>
              </w:rPr>
              <w:t>备注</w:t>
            </w:r>
          </w:p>
        </w:tc>
      </w:tr>
      <w:tr w14:paraId="7262E1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87" w:type="dxa"/>
            <w:tcBorders>
              <w:top w:val="single" w:color="auto" w:sz="4" w:space="0"/>
              <w:left w:val="single" w:color="auto" w:sz="4" w:space="0"/>
              <w:bottom w:val="single" w:color="auto" w:sz="4" w:space="0"/>
              <w:right w:val="single" w:color="auto" w:sz="4" w:space="0"/>
            </w:tcBorders>
            <w:vAlign w:val="center"/>
          </w:tcPr>
          <w:p w14:paraId="3746AFC8">
            <w:pPr>
              <w:widowControl/>
              <w:spacing w:after="0"/>
              <w:jc w:val="center"/>
              <w:textAlignment w:val="center"/>
              <w:rPr>
                <w:rFonts w:ascii="宋体" w:hAnsi="宋体" w:eastAsia="宋体" w:cs="宋体"/>
                <w:color w:val="000000"/>
                <w:kern w:val="0"/>
                <w:szCs w:val="21"/>
              </w:rPr>
            </w:pPr>
            <w:r>
              <w:rPr>
                <w:rFonts w:hint="eastAsia" w:ascii="宋体" w:hAnsi="宋体" w:eastAsia="宋体" w:cs="宋体"/>
                <w:color w:val="000000"/>
                <w:kern w:val="0"/>
                <w:sz w:val="24"/>
                <w:szCs w:val="24"/>
                <w:lang w:bidi="ar"/>
              </w:rPr>
              <w:t>1</w:t>
            </w:r>
          </w:p>
        </w:tc>
        <w:tc>
          <w:tcPr>
            <w:tcW w:w="989"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50EE590">
            <w:pPr>
              <w:widowControl/>
              <w:spacing w:after="0"/>
              <w:jc w:val="center"/>
              <w:textAlignment w:val="center"/>
            </w:pPr>
            <w:r>
              <w:rPr>
                <w:rFonts w:hint="eastAsia" w:ascii="宋体" w:hAnsi="宋体" w:eastAsia="宋体" w:cs="Times New Roman"/>
                <w:szCs w:val="21"/>
              </w:rPr>
              <w:t>广西中医药大学阿平湖周边柳树优化服务项目</w:t>
            </w:r>
          </w:p>
        </w:tc>
        <w:tc>
          <w:tcPr>
            <w:tcW w:w="1500" w:type="dxa"/>
            <w:tcBorders>
              <w:top w:val="single" w:color="auto" w:sz="4" w:space="0"/>
              <w:left w:val="single" w:color="auto" w:sz="4" w:space="0"/>
              <w:bottom w:val="single" w:color="auto" w:sz="4" w:space="0"/>
              <w:right w:val="single" w:color="auto" w:sz="4" w:space="0"/>
            </w:tcBorders>
            <w:vAlign w:val="center"/>
          </w:tcPr>
          <w:p w14:paraId="2C49B558">
            <w:pPr>
              <w:widowControl/>
              <w:spacing w:after="0"/>
              <w:jc w:val="left"/>
              <w:textAlignment w:val="center"/>
              <w:rPr>
                <w:rFonts w:hint="eastAsia" w:ascii="宋体" w:hAnsi="宋体" w:eastAsia="宋体" w:cs="Times New Roman"/>
                <w:szCs w:val="21"/>
              </w:rPr>
            </w:pPr>
            <w:r>
              <w:rPr>
                <w:rFonts w:hint="eastAsia" w:ascii="宋体" w:hAnsi="宋体" w:eastAsia="宋体" w:cs="Times New Roman"/>
                <w:szCs w:val="21"/>
                <w:lang w:val="en-US" w:eastAsia="zh-CN"/>
              </w:rPr>
              <w:t>1.</w:t>
            </w:r>
            <w:r>
              <w:rPr>
                <w:rFonts w:hint="eastAsia" w:ascii="宋体" w:hAnsi="宋体" w:eastAsia="宋体" w:cs="Times New Roman"/>
                <w:szCs w:val="21"/>
              </w:rPr>
              <w:t>迁移现有黄金香柳树 33 棵，地径 6‑8 厘米至校内指定区域；</w:t>
            </w:r>
          </w:p>
          <w:p w14:paraId="00683BD5">
            <w:pPr>
              <w:widowControl/>
              <w:spacing w:after="0"/>
              <w:jc w:val="left"/>
              <w:textAlignment w:val="center"/>
              <w:rPr>
                <w:rFonts w:hint="eastAsia" w:ascii="宋体" w:hAnsi="宋体" w:eastAsia="宋体" w:cs="Times New Roman"/>
                <w:szCs w:val="21"/>
                <w:lang w:eastAsia="zh-CN"/>
              </w:rPr>
            </w:pPr>
            <w:r>
              <w:rPr>
                <w:rFonts w:hint="eastAsia" w:ascii="宋体" w:hAnsi="宋体" w:eastAsia="宋体" w:cs="Times New Roman"/>
                <w:szCs w:val="21"/>
                <w:lang w:val="en-US" w:eastAsia="zh-CN"/>
              </w:rPr>
              <w:t>2.</w:t>
            </w:r>
            <w:r>
              <w:rPr>
                <w:rFonts w:hint="eastAsia" w:ascii="宋体" w:hAnsi="宋体" w:eastAsia="宋体" w:cs="Times New Roman"/>
                <w:szCs w:val="21"/>
              </w:rPr>
              <w:t>采购新种垂柳 33 棵，地径 13‑15 厘米，树形完整健康</w:t>
            </w:r>
            <w:r>
              <w:rPr>
                <w:rFonts w:hint="eastAsia" w:ascii="宋体" w:hAnsi="宋体" w:eastAsia="宋体" w:cs="Times New Roman"/>
                <w:szCs w:val="21"/>
                <w:lang w:eastAsia="zh-CN"/>
              </w:rPr>
              <w:t>；</w:t>
            </w:r>
          </w:p>
          <w:p w14:paraId="57110917">
            <w:pPr>
              <w:widowControl/>
              <w:spacing w:after="0"/>
              <w:jc w:val="left"/>
              <w:textAlignment w:val="center"/>
              <w:rPr>
                <w:rFonts w:hint="default" w:eastAsia="宋体"/>
                <w:lang w:val="en-US" w:eastAsia="zh-CN"/>
              </w:rPr>
            </w:pPr>
            <w:r>
              <w:rPr>
                <w:rFonts w:hint="eastAsia" w:ascii="宋体" w:hAnsi="宋体" w:eastAsia="宋体" w:cs="Times New Roman"/>
                <w:szCs w:val="21"/>
                <w:lang w:val="en-US" w:eastAsia="zh-CN"/>
              </w:rPr>
              <w:t>3.树坑草坪修复。</w:t>
            </w:r>
          </w:p>
        </w:tc>
        <w:tc>
          <w:tcPr>
            <w:tcW w:w="663" w:type="dxa"/>
            <w:tcBorders>
              <w:top w:val="single" w:color="auto" w:sz="4" w:space="0"/>
              <w:left w:val="single" w:color="auto" w:sz="4" w:space="0"/>
              <w:bottom w:val="single" w:color="auto" w:sz="4" w:space="0"/>
              <w:right w:val="single" w:color="auto" w:sz="4" w:space="0"/>
            </w:tcBorders>
            <w:shd w:val="clear" w:color="auto" w:fill="auto"/>
            <w:vAlign w:val="center"/>
          </w:tcPr>
          <w:p w14:paraId="7839B116">
            <w:pPr>
              <w:widowControl/>
              <w:spacing w:after="0"/>
              <w:jc w:val="center"/>
              <w:textAlignment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项</w:t>
            </w:r>
          </w:p>
        </w:tc>
        <w:tc>
          <w:tcPr>
            <w:tcW w:w="612" w:type="dxa"/>
            <w:tcBorders>
              <w:top w:val="single" w:color="auto" w:sz="4" w:space="0"/>
              <w:left w:val="single" w:color="auto" w:sz="4" w:space="0"/>
              <w:bottom w:val="single" w:color="auto" w:sz="4" w:space="0"/>
              <w:right w:val="single" w:color="auto" w:sz="4" w:space="0"/>
            </w:tcBorders>
            <w:shd w:val="clear" w:color="auto" w:fill="auto"/>
            <w:vAlign w:val="center"/>
          </w:tcPr>
          <w:p w14:paraId="584B90F4">
            <w:pPr>
              <w:widowControl/>
              <w:spacing w:after="0"/>
              <w:jc w:val="center"/>
              <w:textAlignment w:val="center"/>
              <w:rPr>
                <w:rFonts w:hint="default" w:ascii="宋体" w:hAnsi="宋体" w:eastAsia="宋体" w:cs="Times New Roman"/>
                <w:szCs w:val="21"/>
                <w:lang w:val="en-US"/>
              </w:rPr>
            </w:pPr>
            <w:r>
              <w:rPr>
                <w:rFonts w:hint="eastAsia" w:ascii="宋体" w:hAnsi="宋体" w:eastAsia="宋体" w:cs="Times New Roman"/>
                <w:szCs w:val="21"/>
                <w:lang w:val="en-US" w:eastAsia="zh-CN"/>
              </w:rPr>
              <w:t>1</w:t>
            </w: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6604B322">
            <w:pPr>
              <w:widowControl/>
              <w:spacing w:after="0"/>
              <w:jc w:val="center"/>
              <w:textAlignment w:val="center"/>
              <w:rPr>
                <w:rFonts w:ascii="宋体" w:hAnsi="宋体" w:eastAsia="宋体" w:cs="宋体"/>
                <w:color w:val="FF0000"/>
                <w:kern w:val="0"/>
                <w:szCs w:val="21"/>
              </w:rPr>
            </w:pPr>
          </w:p>
        </w:tc>
        <w:tc>
          <w:tcPr>
            <w:tcW w:w="1650" w:type="dxa"/>
            <w:tcBorders>
              <w:top w:val="single" w:color="auto" w:sz="4" w:space="0"/>
              <w:left w:val="nil"/>
              <w:bottom w:val="single" w:color="auto" w:sz="4" w:space="0"/>
              <w:right w:val="single" w:color="auto" w:sz="4" w:space="0"/>
            </w:tcBorders>
            <w:shd w:val="clear" w:color="auto" w:fill="auto"/>
            <w:vAlign w:val="center"/>
          </w:tcPr>
          <w:p w14:paraId="5D591F07">
            <w:pPr>
              <w:widowControl/>
              <w:tabs>
                <w:tab w:val="center" w:pos="1121"/>
                <w:tab w:val="right" w:pos="2123"/>
              </w:tabs>
              <w:spacing w:after="0"/>
              <w:jc w:val="left"/>
              <w:textAlignment w:val="center"/>
              <w:rPr>
                <w:rFonts w:ascii="宋体" w:hAnsi="宋体" w:cs="宋体"/>
                <w:color w:val="FF0000"/>
                <w:kern w:val="0"/>
                <w:szCs w:val="21"/>
              </w:rPr>
            </w:pPr>
            <w:r>
              <w:rPr>
                <w:rFonts w:hint="eastAsia"/>
              </w:rPr>
              <w:tab/>
            </w:r>
          </w:p>
        </w:tc>
        <w:tc>
          <w:tcPr>
            <w:tcW w:w="3116" w:type="dxa"/>
            <w:tcBorders>
              <w:top w:val="single" w:color="auto" w:sz="4" w:space="0"/>
              <w:left w:val="single" w:color="auto" w:sz="4" w:space="0"/>
              <w:bottom w:val="single" w:color="auto" w:sz="4" w:space="0"/>
              <w:right w:val="single" w:color="auto" w:sz="4" w:space="0"/>
            </w:tcBorders>
            <w:shd w:val="clear" w:color="auto" w:fill="auto"/>
            <w:vAlign w:val="center"/>
          </w:tcPr>
          <w:p w14:paraId="5B33A263">
            <w:pPr>
              <w:widowControl/>
              <w:spacing w:after="0"/>
              <w:jc w:val="center"/>
              <w:textAlignment w:val="center"/>
              <w:rPr>
                <w:rFonts w:hint="eastAsia"/>
              </w:rPr>
            </w:pPr>
            <w:r>
              <w:rPr>
                <w:rFonts w:hint="eastAsia" w:ascii="宋体" w:hAnsi="宋体" w:eastAsia="宋体" w:cs="Times New Roman"/>
                <w:szCs w:val="21"/>
              </w:rPr>
              <w:t>费用包括：柳树迁移服务费（起挖、运费、吊车费、土球包扎材料、种植土、有机肥、树干营养液、生根剂、叶面肥）；新垂柳苗木采购、种植服务费（运费、吊车费、土球包扎材料、种植土、有机肥、树干营养液、生根剂、叶面肥）；</w:t>
            </w:r>
            <w:r>
              <w:rPr>
                <w:rFonts w:hint="eastAsia" w:ascii="宋体" w:hAnsi="宋体" w:eastAsia="宋体" w:cs="Times New Roman"/>
                <w:b/>
                <w:bCs/>
                <w:szCs w:val="21"/>
              </w:rPr>
              <w:t>在1 年质保养护期内（植株包活）</w:t>
            </w:r>
            <w:r>
              <w:rPr>
                <w:rFonts w:hint="eastAsia" w:ascii="宋体" w:hAnsi="宋体" w:eastAsia="宋体" w:cs="Times New Roman"/>
                <w:szCs w:val="21"/>
              </w:rPr>
              <w:t>，若新种垂柳出现死亡</w:t>
            </w:r>
            <w:r>
              <w:rPr>
                <w:rFonts w:hint="eastAsia" w:ascii="宋体" w:hAnsi="宋体" w:eastAsia="宋体" w:cs="Times New Roman"/>
                <w:szCs w:val="21"/>
                <w:lang w:val="en-US" w:eastAsia="zh-CN"/>
              </w:rPr>
              <w:t>或树形残缺或病虫害严重等</w:t>
            </w:r>
            <w:r>
              <w:rPr>
                <w:rFonts w:hint="eastAsia" w:ascii="宋体" w:hAnsi="宋体" w:eastAsia="宋体" w:cs="Times New Roman"/>
                <w:szCs w:val="21"/>
              </w:rPr>
              <w:t>情况，乙方需承担更换同品质垂柳植株的费用，且甲方无需再向乙方支付任何额外费用。</w:t>
            </w:r>
          </w:p>
        </w:tc>
      </w:tr>
      <w:tr w14:paraId="7756F5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9805" w:type="dxa"/>
            <w:gridSpan w:val="9"/>
            <w:tcBorders>
              <w:top w:val="single" w:color="auto" w:sz="4" w:space="0"/>
              <w:left w:val="single" w:color="auto" w:sz="4" w:space="0"/>
              <w:bottom w:val="single" w:color="auto" w:sz="4" w:space="0"/>
              <w:right w:val="single" w:color="auto" w:sz="4" w:space="0"/>
            </w:tcBorders>
            <w:vAlign w:val="center"/>
          </w:tcPr>
          <w:p w14:paraId="00EBF65D">
            <w:pPr>
              <w:autoSpaceDE w:val="0"/>
              <w:autoSpaceDN w:val="0"/>
              <w:adjustRightInd w:val="0"/>
              <w:spacing w:after="0" w:line="360" w:lineRule="auto"/>
              <w:ind w:firstLine="240" w:firstLineChars="100"/>
              <w:jc w:val="center"/>
              <w:rPr>
                <w:rFonts w:ascii="宋体" w:hAnsi="宋体" w:eastAsia="宋体" w:cs="TimesNewRomanPSMT"/>
                <w:kern w:val="0"/>
                <w:szCs w:val="21"/>
              </w:rPr>
            </w:pPr>
            <w:r>
              <w:rPr>
                <w:rFonts w:hint="eastAsia" w:ascii="宋体" w:hAnsi="宋体" w:eastAsia="宋体" w:cs="宋体"/>
                <w:color w:val="000000"/>
                <w:kern w:val="0"/>
                <w:sz w:val="24"/>
                <w:szCs w:val="24"/>
                <w:lang w:bidi="ar"/>
              </w:rPr>
              <w:t>报价总价：¥           元（大写人民币：                元）</w:t>
            </w:r>
          </w:p>
        </w:tc>
      </w:tr>
    </w:tbl>
    <w:p w14:paraId="54333820">
      <w:pPr>
        <w:autoSpaceDE w:val="0"/>
        <w:autoSpaceDN w:val="0"/>
        <w:adjustRightInd w:val="0"/>
        <w:spacing w:line="360" w:lineRule="auto"/>
        <w:ind w:firstLine="240" w:firstLineChars="100"/>
        <w:jc w:val="left"/>
        <w:rPr>
          <w:rFonts w:hint="eastAsia" w:ascii="宋体" w:hAnsi="宋体" w:eastAsia="宋体" w:cs="宋体"/>
          <w:color w:val="000000"/>
          <w:kern w:val="0"/>
          <w:sz w:val="24"/>
          <w:szCs w:val="24"/>
          <w:lang w:bidi="ar"/>
        </w:rPr>
      </w:pPr>
    </w:p>
    <w:p w14:paraId="719F18AF">
      <w:pPr>
        <w:autoSpaceDE w:val="0"/>
        <w:autoSpaceDN w:val="0"/>
        <w:adjustRightInd w:val="0"/>
        <w:spacing w:line="360" w:lineRule="auto"/>
        <w:ind w:firstLine="240" w:firstLineChars="100"/>
        <w:jc w:val="left"/>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供货商名称（盖章）：</w:t>
      </w:r>
    </w:p>
    <w:p w14:paraId="7F82EDBA">
      <w:pPr>
        <w:autoSpaceDE w:val="0"/>
        <w:autoSpaceDN w:val="0"/>
        <w:adjustRightInd w:val="0"/>
        <w:spacing w:line="360" w:lineRule="auto"/>
        <w:ind w:firstLine="240" w:firstLineChars="100"/>
        <w:jc w:val="left"/>
        <w:rPr>
          <w:rFonts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法定代表人或委托代理人（签字）</w:t>
      </w:r>
      <w:r>
        <w:rPr>
          <w:rFonts w:hint="eastAsia" w:ascii="宋体" w:hAnsi="宋体" w:eastAsia="宋体" w:cs="宋体"/>
          <w:color w:val="000000"/>
          <w:kern w:val="0"/>
          <w:sz w:val="24"/>
          <w:szCs w:val="24"/>
          <w:lang w:bidi="ar"/>
        </w:rPr>
        <w:tab/>
      </w:r>
    </w:p>
    <w:p w14:paraId="5CE6F806">
      <w:pPr>
        <w:autoSpaceDE w:val="0"/>
        <w:autoSpaceDN w:val="0"/>
        <w:adjustRightInd w:val="0"/>
        <w:spacing w:line="360" w:lineRule="auto"/>
        <w:ind w:firstLine="240" w:firstLineChars="100"/>
        <w:jc w:val="left"/>
        <w:rPr>
          <w:rFonts w:ascii="宋体" w:hAnsi="宋体" w:eastAsia="宋体" w:cs="仿宋_GB2312"/>
          <w:color w:val="000000"/>
          <w:szCs w:val="21"/>
        </w:rPr>
      </w:pPr>
      <w:r>
        <w:rPr>
          <w:rFonts w:hint="eastAsia" w:ascii="宋体" w:hAnsi="宋体" w:eastAsia="宋体" w:cs="宋体"/>
          <w:color w:val="000000"/>
          <w:kern w:val="0"/>
          <w:sz w:val="24"/>
          <w:szCs w:val="24"/>
          <w:lang w:bidi="ar"/>
        </w:rPr>
        <w:t>联系人及联系电话：</w:t>
      </w:r>
      <w:r>
        <w:rPr>
          <w:rFonts w:ascii="宋体" w:hAnsi="宋体" w:eastAsia="宋体" w:cs="仿宋_GB2312"/>
          <w:color w:val="000000"/>
          <w:szCs w:val="21"/>
        </w:rPr>
        <w:t xml:space="preserve"> </w:t>
      </w:r>
    </w:p>
    <w:p w14:paraId="77D4CB4C">
      <w:pPr>
        <w:tabs>
          <w:tab w:val="center" w:pos="4153"/>
        </w:tabs>
        <w:snapToGrid w:val="0"/>
        <w:spacing w:before="50" w:after="50" w:line="360" w:lineRule="atLeast"/>
        <w:rPr>
          <w:rFonts w:ascii="宋体" w:hAnsi="宋体" w:eastAsia="宋体" w:cs="仿宋_GB2312"/>
          <w:color w:val="000000"/>
          <w:szCs w:val="21"/>
        </w:rPr>
      </w:pPr>
      <w:r>
        <w:rPr>
          <w:rFonts w:hint="eastAsia" w:ascii="宋体" w:hAnsi="宋体" w:eastAsia="宋体" w:cs="仿宋_GB2312"/>
          <w:color w:val="000000"/>
          <w:szCs w:val="21"/>
        </w:rPr>
        <w:t xml:space="preserve">                          </w:t>
      </w:r>
      <w:r>
        <w:rPr>
          <w:rFonts w:ascii="宋体" w:hAnsi="宋体" w:eastAsia="宋体" w:cs="仿宋_GB2312"/>
          <w:color w:val="000000"/>
          <w:szCs w:val="21"/>
        </w:rPr>
        <w:t xml:space="preserve">               </w:t>
      </w:r>
      <w:r>
        <w:rPr>
          <w:rFonts w:hint="eastAsia" w:ascii="宋体" w:hAnsi="宋体" w:eastAsia="宋体" w:cs="仿宋_GB2312"/>
          <w:color w:val="000000"/>
          <w:szCs w:val="21"/>
        </w:rPr>
        <w:t xml:space="preserve">  </w:t>
      </w:r>
      <w:r>
        <w:rPr>
          <w:rFonts w:hint="eastAsia" w:ascii="宋体" w:hAnsi="宋体" w:eastAsia="宋体" w:cs="宋体"/>
          <w:color w:val="000000"/>
          <w:kern w:val="0"/>
          <w:sz w:val="24"/>
          <w:szCs w:val="24"/>
          <w:lang w:bidi="ar"/>
        </w:rPr>
        <w:t xml:space="preserve"> 报价日期：     年    月   日  </w:t>
      </w:r>
    </w:p>
    <w:p w14:paraId="6A3F7D32">
      <w:pPr>
        <w:pStyle w:val="10"/>
        <w:widowControl/>
        <w:spacing w:after="452" w:line="555" w:lineRule="atLeast"/>
        <w:rPr>
          <w:rStyle w:val="15"/>
          <w:rFonts w:hint="eastAsia" w:ascii="黑体" w:hAnsi="宋体" w:eastAsia="黑体" w:cs="黑体"/>
          <w:color w:val="333333"/>
          <w:sz w:val="28"/>
          <w:szCs w:val="28"/>
          <w:shd w:val="clear" w:color="auto" w:fill="FFFFFF"/>
        </w:rPr>
      </w:pPr>
    </w:p>
    <w:p w14:paraId="3568756E"/>
    <w:p w14:paraId="32B4660C">
      <w:pPr>
        <w:spacing w:line="460" w:lineRule="exact"/>
        <w:rPr>
          <w:rFonts w:ascii="宋体" w:hAnsi="宋体" w:cs="仿宋"/>
          <w:bCs/>
          <w:color w:val="000000"/>
        </w:rPr>
        <w:sectPr>
          <w:pgSz w:w="11906" w:h="16838"/>
          <w:pgMar w:top="1440" w:right="1474" w:bottom="1417" w:left="1587" w:header="851" w:footer="992" w:gutter="0"/>
          <w:pgNumType w:fmt="decimal"/>
          <w:cols w:space="425" w:num="1"/>
          <w:docGrid w:type="lines" w:linePitch="312" w:charSpace="0"/>
        </w:sectPr>
      </w:pPr>
    </w:p>
    <w:p w14:paraId="716EE7EB">
      <w:pPr>
        <w:widowControl/>
        <w:spacing w:line="560" w:lineRule="exact"/>
        <w:jc w:val="left"/>
        <w:rPr>
          <w:rFonts w:hint="eastAsia" w:ascii="宋体" w:hAnsi="宋体" w:eastAsia="宋体" w:cs="宋体"/>
          <w:b/>
          <w:bCs/>
          <w:kern w:val="0"/>
          <w:sz w:val="24"/>
          <w:shd w:val="clear" w:color="auto" w:fill="FFFFFF"/>
        </w:rPr>
      </w:pPr>
      <w:r>
        <w:rPr>
          <w:rFonts w:hint="eastAsia" w:ascii="宋体" w:hAnsi="宋体" w:eastAsia="宋体" w:cs="宋体"/>
          <w:b/>
          <w:bCs/>
          <w:kern w:val="0"/>
          <w:sz w:val="24"/>
          <w:shd w:val="clear" w:color="auto" w:fill="FFFFFF"/>
        </w:rPr>
        <w:t>附件</w:t>
      </w:r>
      <w:r>
        <w:rPr>
          <w:rFonts w:hint="eastAsia" w:ascii="宋体" w:hAnsi="宋体" w:eastAsia="宋体" w:cs="宋体"/>
          <w:b/>
          <w:bCs/>
          <w:kern w:val="0"/>
          <w:sz w:val="24"/>
          <w:shd w:val="clear" w:color="auto" w:fill="FFFFFF"/>
          <w:lang w:val="en-US" w:eastAsia="zh-CN"/>
        </w:rPr>
        <w:t>3</w:t>
      </w:r>
      <w:r>
        <w:rPr>
          <w:rFonts w:hint="eastAsia" w:ascii="宋体" w:hAnsi="宋体" w:eastAsia="宋体" w:cs="宋体"/>
          <w:b/>
          <w:bCs/>
          <w:kern w:val="0"/>
          <w:sz w:val="24"/>
          <w:shd w:val="clear" w:color="auto" w:fill="FFFFFF"/>
        </w:rPr>
        <w:t>：</w:t>
      </w:r>
    </w:p>
    <w:p w14:paraId="61AA9C17">
      <w:pPr>
        <w:widowControl/>
        <w:spacing w:line="560" w:lineRule="exact"/>
        <w:ind w:firstLine="640" w:firstLineChars="200"/>
        <w:jc w:val="center"/>
        <w:rPr>
          <w:rFonts w:hint="eastAsia" w:ascii="宋体" w:hAnsi="宋体" w:eastAsia="宋体" w:cs="宋体"/>
          <w:kern w:val="0"/>
          <w:sz w:val="32"/>
          <w:szCs w:val="32"/>
        </w:rPr>
      </w:pPr>
      <w:r>
        <w:rPr>
          <w:rFonts w:hint="eastAsia" w:ascii="宋体" w:hAnsi="宋体" w:eastAsia="宋体" w:cs="宋体"/>
          <w:kern w:val="0"/>
          <w:sz w:val="32"/>
          <w:szCs w:val="32"/>
        </w:rPr>
        <w:t>需求调查回复函</w:t>
      </w:r>
    </w:p>
    <w:p w14:paraId="36F26189">
      <w:pPr>
        <w:pStyle w:val="5"/>
        <w:rPr>
          <w:rFonts w:hint="eastAsia" w:ascii="宋体" w:hAnsi="宋体" w:eastAsia="宋体" w:cs="宋体"/>
        </w:rPr>
      </w:pPr>
    </w:p>
    <w:p w14:paraId="0A143EF7">
      <w:pPr>
        <w:widowControl/>
        <w:spacing w:after="156" w:afterLines="50" w:line="560" w:lineRule="exact"/>
        <w:jc w:val="left"/>
        <w:rPr>
          <w:rFonts w:hint="eastAsia" w:ascii="宋体" w:hAnsi="宋体" w:eastAsia="宋体" w:cs="宋体"/>
          <w:sz w:val="32"/>
          <w:szCs w:val="32"/>
        </w:rPr>
      </w:pPr>
      <w:r>
        <w:rPr>
          <w:rFonts w:hint="eastAsia" w:ascii="宋体" w:hAnsi="宋体" w:eastAsia="宋体" w:cs="宋体"/>
          <w:kern w:val="0"/>
          <w:sz w:val="32"/>
          <w:szCs w:val="32"/>
          <w:u w:val="single"/>
        </w:rPr>
        <w:t>广西中医药大学</w:t>
      </w:r>
      <w:r>
        <w:rPr>
          <w:rFonts w:hint="eastAsia" w:ascii="宋体" w:hAnsi="宋体" w:eastAsia="宋体" w:cs="宋体"/>
          <w:kern w:val="0"/>
          <w:sz w:val="32"/>
          <w:szCs w:val="32"/>
        </w:rPr>
        <w:t>：</w:t>
      </w:r>
    </w:p>
    <w:p w14:paraId="52A54234">
      <w:pPr>
        <w:widowControl/>
        <w:spacing w:line="560" w:lineRule="exact"/>
        <w:ind w:firstLine="640" w:firstLineChars="200"/>
        <w:jc w:val="left"/>
        <w:rPr>
          <w:rFonts w:hint="eastAsia" w:ascii="宋体" w:hAnsi="宋体" w:eastAsia="宋体" w:cs="宋体"/>
          <w:kern w:val="0"/>
          <w:sz w:val="32"/>
          <w:szCs w:val="32"/>
        </w:rPr>
      </w:pPr>
      <w:r>
        <w:rPr>
          <w:rFonts w:hint="eastAsia" w:ascii="宋体" w:hAnsi="宋体" w:eastAsia="宋体" w:cs="宋体"/>
          <w:kern w:val="0"/>
          <w:sz w:val="32"/>
          <w:szCs w:val="32"/>
        </w:rPr>
        <w:t>根据贵单位发布的“广西中医药大学阿平湖周边柳树优化服务项目”，我公司符合公告规定的资格条件，经我公司研究决定，我公司愿意参与该项目的需求</w:t>
      </w:r>
      <w:r>
        <w:rPr>
          <w:rFonts w:hint="eastAsia" w:ascii="宋体" w:hAnsi="宋体" w:eastAsia="宋体" w:cs="宋体"/>
          <w:kern w:val="0"/>
          <w:sz w:val="32"/>
          <w:szCs w:val="32"/>
          <w:lang w:val="en-US" w:eastAsia="zh-CN"/>
        </w:rPr>
        <w:t>征集</w:t>
      </w:r>
      <w:r>
        <w:rPr>
          <w:rFonts w:hint="eastAsia" w:ascii="宋体" w:hAnsi="宋体" w:eastAsia="宋体" w:cs="宋体"/>
          <w:kern w:val="0"/>
          <w:sz w:val="32"/>
          <w:szCs w:val="32"/>
        </w:rPr>
        <w:t>，我公司承诺在本次</w:t>
      </w:r>
      <w:r>
        <w:rPr>
          <w:rFonts w:hint="eastAsia" w:ascii="宋体" w:hAnsi="宋体" w:eastAsia="宋体" w:cs="宋体"/>
          <w:kern w:val="0"/>
          <w:sz w:val="32"/>
          <w:szCs w:val="32"/>
          <w:lang w:val="en-US" w:eastAsia="zh-CN"/>
        </w:rPr>
        <w:t>需求征集</w:t>
      </w:r>
      <w:r>
        <w:rPr>
          <w:rFonts w:hint="eastAsia" w:ascii="宋体" w:hAnsi="宋体" w:eastAsia="宋体" w:cs="宋体"/>
          <w:kern w:val="0"/>
          <w:sz w:val="32"/>
          <w:szCs w:val="32"/>
        </w:rPr>
        <w:t>中无其他不符合法律法规的行为。</w:t>
      </w:r>
    </w:p>
    <w:p w14:paraId="7DCA37F1">
      <w:pPr>
        <w:pStyle w:val="5"/>
        <w:rPr>
          <w:rFonts w:hint="eastAsia" w:ascii="宋体" w:hAnsi="宋体" w:eastAsia="宋体" w:cs="宋体"/>
        </w:rPr>
      </w:pPr>
    </w:p>
    <w:p w14:paraId="7C87F3E7">
      <w:pPr>
        <w:widowControl/>
        <w:spacing w:line="560" w:lineRule="exact"/>
        <w:ind w:firstLine="640" w:firstLineChars="200"/>
        <w:jc w:val="left"/>
        <w:rPr>
          <w:rFonts w:hint="eastAsia" w:ascii="宋体" w:hAnsi="宋体" w:eastAsia="宋体" w:cs="宋体"/>
          <w:kern w:val="0"/>
          <w:sz w:val="32"/>
          <w:szCs w:val="32"/>
        </w:rPr>
      </w:pPr>
      <w:r>
        <w:rPr>
          <w:rFonts w:hint="eastAsia" w:ascii="宋体" w:hAnsi="宋体" w:eastAsia="宋体" w:cs="宋体"/>
          <w:kern w:val="0"/>
          <w:sz w:val="32"/>
          <w:szCs w:val="32"/>
        </w:rPr>
        <w:t>附：公司《营业执照》及相关资质证书复印件</w:t>
      </w:r>
    </w:p>
    <w:p w14:paraId="1998D0D9">
      <w:pPr>
        <w:widowControl/>
        <w:spacing w:line="560" w:lineRule="exact"/>
        <w:ind w:firstLine="640" w:firstLineChars="200"/>
        <w:jc w:val="left"/>
        <w:rPr>
          <w:rFonts w:hint="eastAsia" w:ascii="宋体" w:hAnsi="宋体" w:eastAsia="宋体" w:cs="宋体"/>
          <w:kern w:val="0"/>
          <w:sz w:val="32"/>
          <w:szCs w:val="32"/>
        </w:rPr>
      </w:pPr>
    </w:p>
    <w:p w14:paraId="6DA04957">
      <w:pPr>
        <w:widowControl/>
        <w:spacing w:line="560" w:lineRule="exact"/>
        <w:ind w:firstLine="640" w:firstLineChars="200"/>
        <w:jc w:val="left"/>
        <w:rPr>
          <w:rFonts w:hint="eastAsia" w:ascii="宋体" w:hAnsi="宋体" w:eastAsia="宋体" w:cs="宋体"/>
          <w:kern w:val="0"/>
          <w:sz w:val="32"/>
          <w:szCs w:val="32"/>
        </w:rPr>
      </w:pPr>
    </w:p>
    <w:p w14:paraId="1BFD3F67">
      <w:pPr>
        <w:widowControl/>
        <w:spacing w:line="560" w:lineRule="exact"/>
        <w:ind w:firstLine="640" w:firstLineChars="200"/>
        <w:jc w:val="left"/>
        <w:rPr>
          <w:rFonts w:hint="eastAsia" w:ascii="宋体" w:hAnsi="宋体" w:eastAsia="宋体" w:cs="宋体"/>
          <w:kern w:val="0"/>
          <w:sz w:val="32"/>
          <w:szCs w:val="32"/>
        </w:rPr>
      </w:pPr>
    </w:p>
    <w:p w14:paraId="42292375">
      <w:pPr>
        <w:widowControl/>
        <w:spacing w:line="560" w:lineRule="exact"/>
        <w:ind w:firstLine="640" w:firstLineChars="200"/>
        <w:jc w:val="left"/>
        <w:rPr>
          <w:rFonts w:hint="eastAsia" w:ascii="宋体" w:hAnsi="宋体" w:eastAsia="宋体" w:cs="宋体"/>
          <w:kern w:val="0"/>
          <w:sz w:val="32"/>
          <w:szCs w:val="32"/>
        </w:rPr>
      </w:pPr>
    </w:p>
    <w:p w14:paraId="4D8C2B0B">
      <w:pPr>
        <w:widowControl/>
        <w:spacing w:line="560" w:lineRule="exact"/>
        <w:ind w:firstLine="640" w:firstLineChars="200"/>
        <w:jc w:val="left"/>
        <w:rPr>
          <w:rFonts w:hint="eastAsia" w:ascii="宋体" w:hAnsi="宋体" w:eastAsia="宋体" w:cs="宋体"/>
          <w:kern w:val="0"/>
          <w:sz w:val="32"/>
          <w:szCs w:val="32"/>
        </w:rPr>
      </w:pPr>
    </w:p>
    <w:p w14:paraId="5BE2B2A4">
      <w:pPr>
        <w:pStyle w:val="38"/>
        <w:spacing w:line="600" w:lineRule="exact"/>
        <w:ind w:left="6240" w:hanging="6240" w:hangingChars="2600"/>
        <w:jc w:val="both"/>
        <w:rPr>
          <w:rFonts w:hint="eastAsia" w:ascii="宋体" w:hAnsi="宋体" w:eastAsia="宋体" w:cs="宋体"/>
          <w:bCs w:val="0"/>
          <w:color w:val="auto"/>
          <w:kern w:val="2"/>
          <w:sz w:val="24"/>
          <w:szCs w:val="24"/>
        </w:rPr>
      </w:pPr>
      <w:r>
        <w:rPr>
          <w:rFonts w:hint="eastAsia" w:ascii="宋体" w:hAnsi="宋体" w:eastAsia="宋体" w:cs="宋体"/>
          <w:bCs w:val="0"/>
          <w:color w:val="auto"/>
          <w:kern w:val="2"/>
          <w:sz w:val="24"/>
          <w:szCs w:val="24"/>
        </w:rPr>
        <w:t>公司名称（盖章）：</w:t>
      </w:r>
    </w:p>
    <w:p w14:paraId="112A729B">
      <w:pPr>
        <w:pStyle w:val="38"/>
        <w:spacing w:line="600" w:lineRule="exact"/>
        <w:jc w:val="both"/>
        <w:rPr>
          <w:rFonts w:hint="eastAsia" w:ascii="宋体" w:hAnsi="宋体" w:eastAsia="宋体" w:cs="宋体"/>
          <w:bCs w:val="0"/>
          <w:color w:val="auto"/>
          <w:kern w:val="2"/>
          <w:sz w:val="24"/>
          <w:szCs w:val="24"/>
        </w:rPr>
      </w:pPr>
      <w:r>
        <w:rPr>
          <w:rFonts w:hint="eastAsia" w:ascii="宋体" w:hAnsi="宋体" w:eastAsia="宋体" w:cs="宋体"/>
          <w:bCs w:val="0"/>
          <w:color w:val="auto"/>
          <w:kern w:val="2"/>
          <w:sz w:val="24"/>
          <w:szCs w:val="24"/>
        </w:rPr>
        <w:t>联系人姓名：</w:t>
      </w:r>
    </w:p>
    <w:p w14:paraId="79902F1D">
      <w:pPr>
        <w:pStyle w:val="38"/>
        <w:spacing w:line="600" w:lineRule="exact"/>
        <w:jc w:val="both"/>
        <w:rPr>
          <w:rFonts w:hint="eastAsia" w:ascii="宋体" w:hAnsi="宋体" w:eastAsia="宋体" w:cs="宋体"/>
          <w:bCs w:val="0"/>
          <w:color w:val="auto"/>
          <w:kern w:val="2"/>
          <w:sz w:val="24"/>
          <w:szCs w:val="24"/>
          <w:u w:val="single"/>
        </w:rPr>
      </w:pPr>
      <w:r>
        <w:rPr>
          <w:rFonts w:hint="eastAsia" w:ascii="宋体" w:hAnsi="宋体" w:eastAsia="宋体" w:cs="宋体"/>
          <w:bCs w:val="0"/>
          <w:color w:val="auto"/>
          <w:kern w:val="2"/>
          <w:sz w:val="24"/>
          <w:szCs w:val="24"/>
        </w:rPr>
        <w:t>联系人电话：</w:t>
      </w:r>
    </w:p>
    <w:p w14:paraId="6A096B7C">
      <w:pPr>
        <w:pStyle w:val="38"/>
        <w:spacing w:line="600" w:lineRule="exact"/>
        <w:jc w:val="both"/>
        <w:rPr>
          <w:rFonts w:hint="eastAsia" w:ascii="宋体" w:hAnsi="宋体" w:eastAsia="宋体" w:cs="宋体"/>
          <w:bCs w:val="0"/>
          <w:color w:val="auto"/>
          <w:kern w:val="2"/>
          <w:sz w:val="24"/>
          <w:szCs w:val="24"/>
          <w:u w:val="single"/>
        </w:rPr>
      </w:pPr>
      <w:r>
        <w:rPr>
          <w:rFonts w:hint="eastAsia" w:ascii="宋体" w:hAnsi="宋体" w:eastAsia="宋体" w:cs="宋体"/>
          <w:bCs w:val="0"/>
          <w:color w:val="auto"/>
          <w:kern w:val="2"/>
          <w:sz w:val="24"/>
          <w:szCs w:val="24"/>
        </w:rPr>
        <w:t>联系人邮箱：</w:t>
      </w:r>
    </w:p>
    <w:p w14:paraId="34263EE9">
      <w:pPr>
        <w:spacing w:line="600" w:lineRule="exact"/>
        <w:rPr>
          <w:rFonts w:hint="eastAsia" w:ascii="宋体" w:hAnsi="宋体" w:eastAsia="宋体" w:cs="宋体"/>
          <w:sz w:val="24"/>
        </w:rPr>
      </w:pPr>
      <w:r>
        <w:rPr>
          <w:rFonts w:hint="eastAsia" w:ascii="宋体" w:hAnsi="宋体" w:eastAsia="宋体" w:cs="宋体"/>
          <w:sz w:val="24"/>
        </w:rPr>
        <w:t xml:space="preserve">日期： </w:t>
      </w:r>
    </w:p>
    <w:p w14:paraId="2F6FACC4">
      <w:pPr>
        <w:spacing w:line="360" w:lineRule="auto"/>
      </w:pPr>
    </w:p>
    <w:p w14:paraId="0AFA5449">
      <w:pPr>
        <w:pStyle w:val="10"/>
        <w:widowControl/>
        <w:spacing w:after="452" w:line="555" w:lineRule="atLeast"/>
        <w:rPr>
          <w:rStyle w:val="15"/>
          <w:rFonts w:hint="eastAsia" w:ascii="黑体" w:hAnsi="宋体" w:eastAsia="黑体" w:cs="黑体"/>
          <w:color w:val="333333"/>
          <w:sz w:val="28"/>
          <w:szCs w:val="28"/>
          <w:shd w:val="clear" w:color="auto" w:fill="FFFFFF"/>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68500D9-0698-46D4-BFD2-307EE05531F1}"/>
  </w:font>
  <w:font w:name="Courier New">
    <w:panose1 w:val="02070309020205020404"/>
    <w:charset w:val="01"/>
    <w:family w:val="modern"/>
    <w:pitch w:val="default"/>
    <w:sig w:usb0="E0002EFF" w:usb1="C0007843" w:usb2="00000009" w:usb3="00000000" w:csb0="400001FF" w:csb1="FFFF0000"/>
    <w:embedRegular r:id="rId2" w:fontKey="{1742F0CB-CB15-4D72-A7A4-098AAC13BD6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NewRomanPSMT">
    <w:altName w:val="Times New Roman"/>
    <w:panose1 w:val="00000000000000000000"/>
    <w:charset w:val="86"/>
    <w:family w:val="auto"/>
    <w:pitch w:val="default"/>
    <w:sig w:usb0="00000000" w:usb1="00000000" w:usb2="00000010" w:usb3="00000000" w:csb0="00040000" w:csb1="00000000"/>
    <w:embedRegular r:id="rId3" w:fontKey="{3EE72C01-F214-4A44-9E77-20A39DDEFD77}"/>
  </w:font>
  <w:font w:name="方正小标宋简体">
    <w:panose1 w:val="02000000000000000000"/>
    <w:charset w:val="86"/>
    <w:family w:val="auto"/>
    <w:pitch w:val="default"/>
    <w:sig w:usb0="00000001" w:usb1="08000000" w:usb2="00000000" w:usb3="00000000" w:csb0="00040000" w:csb1="00000000"/>
    <w:embedRegular r:id="rId4" w:fontKey="{AC9CFB93-1CA4-47EA-9FAF-3796B9B64D70}"/>
  </w:font>
  <w:font w:name="仿宋_GB2312">
    <w:panose1 w:val="02010609030101010101"/>
    <w:charset w:val="86"/>
    <w:family w:val="modern"/>
    <w:pitch w:val="default"/>
    <w:sig w:usb0="00000001" w:usb1="080E0000" w:usb2="00000000" w:usb3="00000000" w:csb0="00040000" w:csb1="00000000"/>
    <w:embedRegular r:id="rId5" w:fontKey="{68768C4D-B6A5-4703-AA7C-14A6D462FA5F}"/>
  </w:font>
  <w:font w:name="仿宋">
    <w:panose1 w:val="02010609060101010101"/>
    <w:charset w:val="86"/>
    <w:family w:val="modern"/>
    <w:pitch w:val="default"/>
    <w:sig w:usb0="800002BF" w:usb1="38CF7CFA" w:usb2="00000016" w:usb3="00000000" w:csb0="00040001" w:csb1="00000000"/>
    <w:embedRegular r:id="rId6" w:fontKey="{6FEF5A24-25F7-4759-AB75-0AD94874F00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4099594"/>
    </w:sdtPr>
    <w:sdtContent>
      <w:sdt>
        <w:sdtPr>
          <w:id w:val="171357217"/>
        </w:sdtPr>
        <w:sdtContent>
          <w:p w14:paraId="06063D81">
            <w:pPr>
              <w:pStyle w:val="8"/>
              <w:jc w:val="center"/>
            </w:pPr>
            <w:r>
              <w:rPr>
                <w:b/>
                <w:sz w:val="24"/>
                <w:szCs w:val="24"/>
              </w:rPr>
              <w:fldChar w:fldCharType="begin"/>
            </w:r>
            <w:r>
              <w:rPr>
                <w:b/>
              </w:rPr>
              <w:instrText xml:space="preserve">PAGE</w:instrText>
            </w:r>
            <w:r>
              <w:rPr>
                <w:b/>
                <w:sz w:val="24"/>
                <w:szCs w:val="24"/>
              </w:rPr>
              <w:fldChar w:fldCharType="separate"/>
            </w:r>
            <w:r>
              <w:rPr>
                <w:b/>
              </w:rPr>
              <w:t>10</w:t>
            </w:r>
            <w:r>
              <w:rPr>
                <w:b/>
                <w:sz w:val="24"/>
                <w:szCs w:val="24"/>
              </w:rPr>
              <w:fldChar w:fldCharType="end"/>
            </w:r>
          </w:p>
        </w:sdtContent>
      </w:sdt>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6A1DA5"/>
    <w:multiLevelType w:val="singleLevel"/>
    <w:tmpl w:val="C66A1DA5"/>
    <w:lvl w:ilvl="0" w:tentative="0">
      <w:start w:val="2"/>
      <w:numFmt w:val="decimal"/>
      <w:suff w:val="nothing"/>
      <w:lvlText w:val="%1．"/>
      <w:lvlJc w:val="left"/>
      <w:pPr>
        <w:ind w:left="619" w:leftChars="0" w:firstLine="0" w:firstLineChars="0"/>
      </w:pPr>
    </w:lvl>
  </w:abstractNum>
  <w:abstractNum w:abstractNumId="1">
    <w:nsid w:val="37739CBB"/>
    <w:multiLevelType w:val="singleLevel"/>
    <w:tmpl w:val="37739CBB"/>
    <w:lvl w:ilvl="0" w:tentative="0">
      <w:start w:val="1"/>
      <w:numFmt w:val="decimal"/>
      <w:suff w:val="nothing"/>
      <w:lvlText w:val="%1、"/>
      <w:lvlJc w:val="left"/>
    </w:lvl>
  </w:abstractNum>
  <w:abstractNum w:abstractNumId="2">
    <w:nsid w:val="53081129"/>
    <w:multiLevelType w:val="singleLevel"/>
    <w:tmpl w:val="53081129"/>
    <w:lvl w:ilvl="0" w:tentative="0">
      <w:start w:val="9"/>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djMGJkMjQ2YWU3YzI0ZWQ5MDIzYTA5NWI0MDhjY2EifQ=="/>
  </w:docVars>
  <w:rsids>
    <w:rsidRoot w:val="52D653D6"/>
    <w:rsid w:val="000021EA"/>
    <w:rsid w:val="00002994"/>
    <w:rsid w:val="000102D3"/>
    <w:rsid w:val="0001736C"/>
    <w:rsid w:val="00021BD6"/>
    <w:rsid w:val="00022DB0"/>
    <w:rsid w:val="000408C1"/>
    <w:rsid w:val="00047C0E"/>
    <w:rsid w:val="00050918"/>
    <w:rsid w:val="00056B5E"/>
    <w:rsid w:val="000808B9"/>
    <w:rsid w:val="000818CE"/>
    <w:rsid w:val="00082409"/>
    <w:rsid w:val="00082EF6"/>
    <w:rsid w:val="00087E6F"/>
    <w:rsid w:val="00092BBF"/>
    <w:rsid w:val="000953D5"/>
    <w:rsid w:val="000A3D19"/>
    <w:rsid w:val="000A5D39"/>
    <w:rsid w:val="000C4E31"/>
    <w:rsid w:val="000D79E3"/>
    <w:rsid w:val="000E64E3"/>
    <w:rsid w:val="000F48C3"/>
    <w:rsid w:val="00102784"/>
    <w:rsid w:val="0010348A"/>
    <w:rsid w:val="00110A81"/>
    <w:rsid w:val="0011572A"/>
    <w:rsid w:val="00117EF0"/>
    <w:rsid w:val="00127AFC"/>
    <w:rsid w:val="00133620"/>
    <w:rsid w:val="00142928"/>
    <w:rsid w:val="00150216"/>
    <w:rsid w:val="0015389D"/>
    <w:rsid w:val="00156346"/>
    <w:rsid w:val="0017414C"/>
    <w:rsid w:val="0018636D"/>
    <w:rsid w:val="001875BE"/>
    <w:rsid w:val="001B37D8"/>
    <w:rsid w:val="001C0A0B"/>
    <w:rsid w:val="001C5E3E"/>
    <w:rsid w:val="001D0CC4"/>
    <w:rsid w:val="001D3CF7"/>
    <w:rsid w:val="001D40D9"/>
    <w:rsid w:val="001F0DE4"/>
    <w:rsid w:val="001F1305"/>
    <w:rsid w:val="00204020"/>
    <w:rsid w:val="002144DE"/>
    <w:rsid w:val="00227F58"/>
    <w:rsid w:val="002310AC"/>
    <w:rsid w:val="00232C58"/>
    <w:rsid w:val="00253977"/>
    <w:rsid w:val="002562E1"/>
    <w:rsid w:val="00262C20"/>
    <w:rsid w:val="00266048"/>
    <w:rsid w:val="00266758"/>
    <w:rsid w:val="0027553D"/>
    <w:rsid w:val="0027639E"/>
    <w:rsid w:val="00277F7F"/>
    <w:rsid w:val="00293E0B"/>
    <w:rsid w:val="002A648D"/>
    <w:rsid w:val="002C48D1"/>
    <w:rsid w:val="002E0607"/>
    <w:rsid w:val="00305EF6"/>
    <w:rsid w:val="00312577"/>
    <w:rsid w:val="00351A5E"/>
    <w:rsid w:val="003848E9"/>
    <w:rsid w:val="003B497F"/>
    <w:rsid w:val="003B4F6A"/>
    <w:rsid w:val="003D1DCB"/>
    <w:rsid w:val="003D5BD5"/>
    <w:rsid w:val="003D7CA4"/>
    <w:rsid w:val="003E6F60"/>
    <w:rsid w:val="003F13B3"/>
    <w:rsid w:val="00401437"/>
    <w:rsid w:val="00404C7B"/>
    <w:rsid w:val="004071AF"/>
    <w:rsid w:val="0040787D"/>
    <w:rsid w:val="00407C7B"/>
    <w:rsid w:val="004167FA"/>
    <w:rsid w:val="00431E0E"/>
    <w:rsid w:val="00435453"/>
    <w:rsid w:val="00463A88"/>
    <w:rsid w:val="00467F02"/>
    <w:rsid w:val="00474A3B"/>
    <w:rsid w:val="0048288D"/>
    <w:rsid w:val="0048565F"/>
    <w:rsid w:val="004D446A"/>
    <w:rsid w:val="004D6593"/>
    <w:rsid w:val="004E020D"/>
    <w:rsid w:val="004E3B7E"/>
    <w:rsid w:val="004E5F3B"/>
    <w:rsid w:val="0050326B"/>
    <w:rsid w:val="005166BE"/>
    <w:rsid w:val="0052249A"/>
    <w:rsid w:val="00547DDF"/>
    <w:rsid w:val="00552718"/>
    <w:rsid w:val="0055287B"/>
    <w:rsid w:val="005650A8"/>
    <w:rsid w:val="005650B2"/>
    <w:rsid w:val="005975B9"/>
    <w:rsid w:val="005B2E2F"/>
    <w:rsid w:val="005C6D2A"/>
    <w:rsid w:val="005E1921"/>
    <w:rsid w:val="005E4818"/>
    <w:rsid w:val="005E4C14"/>
    <w:rsid w:val="005E4ECB"/>
    <w:rsid w:val="00603052"/>
    <w:rsid w:val="006034DC"/>
    <w:rsid w:val="006128DF"/>
    <w:rsid w:val="00624C0D"/>
    <w:rsid w:val="0063472B"/>
    <w:rsid w:val="00651D11"/>
    <w:rsid w:val="00655E69"/>
    <w:rsid w:val="00660F53"/>
    <w:rsid w:val="00667D2A"/>
    <w:rsid w:val="00681F69"/>
    <w:rsid w:val="00696CD7"/>
    <w:rsid w:val="006A4493"/>
    <w:rsid w:val="006C62A8"/>
    <w:rsid w:val="006C7ECB"/>
    <w:rsid w:val="006D028E"/>
    <w:rsid w:val="006D1F21"/>
    <w:rsid w:val="006E0179"/>
    <w:rsid w:val="006E297E"/>
    <w:rsid w:val="006E3CF1"/>
    <w:rsid w:val="006E5784"/>
    <w:rsid w:val="006E6C19"/>
    <w:rsid w:val="00710C8F"/>
    <w:rsid w:val="007270EA"/>
    <w:rsid w:val="00733E15"/>
    <w:rsid w:val="007442A9"/>
    <w:rsid w:val="0075181E"/>
    <w:rsid w:val="007624A7"/>
    <w:rsid w:val="007828C7"/>
    <w:rsid w:val="007942C7"/>
    <w:rsid w:val="007A4C72"/>
    <w:rsid w:val="007B21E3"/>
    <w:rsid w:val="007B4626"/>
    <w:rsid w:val="007C409B"/>
    <w:rsid w:val="007C5205"/>
    <w:rsid w:val="00801CC6"/>
    <w:rsid w:val="0080519D"/>
    <w:rsid w:val="00813ADE"/>
    <w:rsid w:val="00830BFD"/>
    <w:rsid w:val="008350EC"/>
    <w:rsid w:val="00835CD1"/>
    <w:rsid w:val="00853064"/>
    <w:rsid w:val="00857045"/>
    <w:rsid w:val="00871030"/>
    <w:rsid w:val="00896BE4"/>
    <w:rsid w:val="00897818"/>
    <w:rsid w:val="008A0012"/>
    <w:rsid w:val="008B090F"/>
    <w:rsid w:val="008B10DB"/>
    <w:rsid w:val="008D14DD"/>
    <w:rsid w:val="008D28D6"/>
    <w:rsid w:val="008D66DC"/>
    <w:rsid w:val="008E356A"/>
    <w:rsid w:val="008E6872"/>
    <w:rsid w:val="008F0184"/>
    <w:rsid w:val="008F2BB9"/>
    <w:rsid w:val="00921188"/>
    <w:rsid w:val="009254E6"/>
    <w:rsid w:val="009273B2"/>
    <w:rsid w:val="00933947"/>
    <w:rsid w:val="00954DF6"/>
    <w:rsid w:val="00973544"/>
    <w:rsid w:val="00976B0B"/>
    <w:rsid w:val="00980C1A"/>
    <w:rsid w:val="00991123"/>
    <w:rsid w:val="009A0E5A"/>
    <w:rsid w:val="009A4990"/>
    <w:rsid w:val="009E24CA"/>
    <w:rsid w:val="009E40CD"/>
    <w:rsid w:val="009E469C"/>
    <w:rsid w:val="009E7472"/>
    <w:rsid w:val="00A173CF"/>
    <w:rsid w:val="00A24850"/>
    <w:rsid w:val="00A25973"/>
    <w:rsid w:val="00A30A44"/>
    <w:rsid w:val="00A31597"/>
    <w:rsid w:val="00A34DD3"/>
    <w:rsid w:val="00A82D07"/>
    <w:rsid w:val="00A86CD0"/>
    <w:rsid w:val="00A91344"/>
    <w:rsid w:val="00A95723"/>
    <w:rsid w:val="00AB0679"/>
    <w:rsid w:val="00AC4CAC"/>
    <w:rsid w:val="00AC7DAE"/>
    <w:rsid w:val="00AD3300"/>
    <w:rsid w:val="00AF09A3"/>
    <w:rsid w:val="00B00457"/>
    <w:rsid w:val="00B07709"/>
    <w:rsid w:val="00B11EDA"/>
    <w:rsid w:val="00B12D00"/>
    <w:rsid w:val="00B17646"/>
    <w:rsid w:val="00B25E09"/>
    <w:rsid w:val="00B47E3C"/>
    <w:rsid w:val="00B532BA"/>
    <w:rsid w:val="00B631DC"/>
    <w:rsid w:val="00B671EC"/>
    <w:rsid w:val="00B81F9C"/>
    <w:rsid w:val="00B86469"/>
    <w:rsid w:val="00B91B26"/>
    <w:rsid w:val="00B95E1D"/>
    <w:rsid w:val="00B96A3E"/>
    <w:rsid w:val="00BA4B5D"/>
    <w:rsid w:val="00BB058F"/>
    <w:rsid w:val="00BB208F"/>
    <w:rsid w:val="00BC583D"/>
    <w:rsid w:val="00BD325C"/>
    <w:rsid w:val="00BD4895"/>
    <w:rsid w:val="00BD6001"/>
    <w:rsid w:val="00BE601F"/>
    <w:rsid w:val="00BF406C"/>
    <w:rsid w:val="00BF531C"/>
    <w:rsid w:val="00C03C74"/>
    <w:rsid w:val="00C14009"/>
    <w:rsid w:val="00C30E63"/>
    <w:rsid w:val="00C47714"/>
    <w:rsid w:val="00C671A9"/>
    <w:rsid w:val="00C75936"/>
    <w:rsid w:val="00C81107"/>
    <w:rsid w:val="00C92655"/>
    <w:rsid w:val="00CA5212"/>
    <w:rsid w:val="00CB26C2"/>
    <w:rsid w:val="00CD49D9"/>
    <w:rsid w:val="00CE11B5"/>
    <w:rsid w:val="00CF4136"/>
    <w:rsid w:val="00CF77EF"/>
    <w:rsid w:val="00D13A3C"/>
    <w:rsid w:val="00D20611"/>
    <w:rsid w:val="00D24B5D"/>
    <w:rsid w:val="00D36B28"/>
    <w:rsid w:val="00D404D1"/>
    <w:rsid w:val="00D40C11"/>
    <w:rsid w:val="00D44D05"/>
    <w:rsid w:val="00D457A7"/>
    <w:rsid w:val="00D476EA"/>
    <w:rsid w:val="00D71E77"/>
    <w:rsid w:val="00D84986"/>
    <w:rsid w:val="00D9050C"/>
    <w:rsid w:val="00D96DD9"/>
    <w:rsid w:val="00DA06E7"/>
    <w:rsid w:val="00DC72FA"/>
    <w:rsid w:val="00DE3942"/>
    <w:rsid w:val="00DE62C0"/>
    <w:rsid w:val="00DF3090"/>
    <w:rsid w:val="00DF3C24"/>
    <w:rsid w:val="00E0409A"/>
    <w:rsid w:val="00E11FB9"/>
    <w:rsid w:val="00E12ED2"/>
    <w:rsid w:val="00E21A54"/>
    <w:rsid w:val="00E25AAB"/>
    <w:rsid w:val="00E44071"/>
    <w:rsid w:val="00E4439D"/>
    <w:rsid w:val="00E72E28"/>
    <w:rsid w:val="00E84305"/>
    <w:rsid w:val="00E873EB"/>
    <w:rsid w:val="00E97C10"/>
    <w:rsid w:val="00EB7ADE"/>
    <w:rsid w:val="00EC277A"/>
    <w:rsid w:val="00ED3D64"/>
    <w:rsid w:val="00ED59F5"/>
    <w:rsid w:val="00EE293F"/>
    <w:rsid w:val="00EE355B"/>
    <w:rsid w:val="00EE6160"/>
    <w:rsid w:val="00EF299F"/>
    <w:rsid w:val="00EF3E4E"/>
    <w:rsid w:val="00EF4227"/>
    <w:rsid w:val="00EF6487"/>
    <w:rsid w:val="00F0506C"/>
    <w:rsid w:val="00F20CDC"/>
    <w:rsid w:val="00F24410"/>
    <w:rsid w:val="00F25E3C"/>
    <w:rsid w:val="00F26972"/>
    <w:rsid w:val="00F330CB"/>
    <w:rsid w:val="00F33F15"/>
    <w:rsid w:val="00F348C2"/>
    <w:rsid w:val="00F408EA"/>
    <w:rsid w:val="00F5062C"/>
    <w:rsid w:val="00F56375"/>
    <w:rsid w:val="00F630CC"/>
    <w:rsid w:val="00F72D45"/>
    <w:rsid w:val="00F73016"/>
    <w:rsid w:val="00F92D4B"/>
    <w:rsid w:val="00F94F4A"/>
    <w:rsid w:val="00FB02B1"/>
    <w:rsid w:val="00FB3B7E"/>
    <w:rsid w:val="00FB3DFA"/>
    <w:rsid w:val="00FD620A"/>
    <w:rsid w:val="00FD7528"/>
    <w:rsid w:val="00FE3636"/>
    <w:rsid w:val="0163247B"/>
    <w:rsid w:val="09287D76"/>
    <w:rsid w:val="09E37FB3"/>
    <w:rsid w:val="0A0F5BB5"/>
    <w:rsid w:val="0C93343B"/>
    <w:rsid w:val="0DE27E45"/>
    <w:rsid w:val="0E2A021A"/>
    <w:rsid w:val="0E4E4D25"/>
    <w:rsid w:val="0E6F05D1"/>
    <w:rsid w:val="0F074FAA"/>
    <w:rsid w:val="0F2F0DF1"/>
    <w:rsid w:val="10EF74F9"/>
    <w:rsid w:val="15333719"/>
    <w:rsid w:val="157A4E35"/>
    <w:rsid w:val="15A6480D"/>
    <w:rsid w:val="1608351E"/>
    <w:rsid w:val="17801FD1"/>
    <w:rsid w:val="186C7681"/>
    <w:rsid w:val="18FF04F5"/>
    <w:rsid w:val="1AED7C4B"/>
    <w:rsid w:val="1DF613D3"/>
    <w:rsid w:val="20A0716E"/>
    <w:rsid w:val="21E9568B"/>
    <w:rsid w:val="238B30B1"/>
    <w:rsid w:val="26827E96"/>
    <w:rsid w:val="26A022EB"/>
    <w:rsid w:val="27175C5E"/>
    <w:rsid w:val="27532138"/>
    <w:rsid w:val="278E005D"/>
    <w:rsid w:val="27B300F5"/>
    <w:rsid w:val="288B42E2"/>
    <w:rsid w:val="28921D3B"/>
    <w:rsid w:val="2DC4108D"/>
    <w:rsid w:val="2F03088A"/>
    <w:rsid w:val="2FEC2936"/>
    <w:rsid w:val="30175C86"/>
    <w:rsid w:val="3038292B"/>
    <w:rsid w:val="30911CD7"/>
    <w:rsid w:val="333C1D7F"/>
    <w:rsid w:val="33F53549"/>
    <w:rsid w:val="378620B5"/>
    <w:rsid w:val="37A57BEC"/>
    <w:rsid w:val="38290730"/>
    <w:rsid w:val="38644D56"/>
    <w:rsid w:val="38B16CBE"/>
    <w:rsid w:val="3BDC4EF4"/>
    <w:rsid w:val="40AC32B3"/>
    <w:rsid w:val="41842ED7"/>
    <w:rsid w:val="41E80EEB"/>
    <w:rsid w:val="435854A7"/>
    <w:rsid w:val="44E060C2"/>
    <w:rsid w:val="4708796F"/>
    <w:rsid w:val="47283916"/>
    <w:rsid w:val="4A673681"/>
    <w:rsid w:val="4A8C26DF"/>
    <w:rsid w:val="4D237BB0"/>
    <w:rsid w:val="4E632314"/>
    <w:rsid w:val="508F329F"/>
    <w:rsid w:val="52264F17"/>
    <w:rsid w:val="527B4618"/>
    <w:rsid w:val="52B813CD"/>
    <w:rsid w:val="52D653D6"/>
    <w:rsid w:val="53F00E87"/>
    <w:rsid w:val="54572D18"/>
    <w:rsid w:val="55EA33B8"/>
    <w:rsid w:val="58E50BA2"/>
    <w:rsid w:val="598B674F"/>
    <w:rsid w:val="5B426F9F"/>
    <w:rsid w:val="5B8E2CD1"/>
    <w:rsid w:val="5C447A96"/>
    <w:rsid w:val="5D5E44AA"/>
    <w:rsid w:val="5F9E149B"/>
    <w:rsid w:val="606E39B0"/>
    <w:rsid w:val="628F7431"/>
    <w:rsid w:val="65904FA9"/>
    <w:rsid w:val="67450B42"/>
    <w:rsid w:val="67D866A0"/>
    <w:rsid w:val="68064BA3"/>
    <w:rsid w:val="6C28527F"/>
    <w:rsid w:val="6D6123F1"/>
    <w:rsid w:val="712B5572"/>
    <w:rsid w:val="7357203A"/>
    <w:rsid w:val="75352A78"/>
    <w:rsid w:val="76122637"/>
    <w:rsid w:val="772B3B04"/>
    <w:rsid w:val="7835786E"/>
    <w:rsid w:val="7C2B051C"/>
    <w:rsid w:val="7CDA58DC"/>
    <w:rsid w:val="7D5939E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0" w:name="HTML Keyboard"/>
    <w:lsdException w:uiPriority="0" w:name="HTML Preformatted"/>
    <w:lsdException w:uiPriority="0" w:name="HTML Sample"/>
    <w:lsdException w:uiPriority="0" w:name="HTML Typewriter"/>
    <w:lsdException w:qFormat="1" w:unhideWhenUsed="0" w:uiPriority="0" w:semiHidden="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jc w:val="left"/>
      <w:outlineLvl w:val="1"/>
    </w:pPr>
    <w:rPr>
      <w:rFonts w:hint="eastAsia" w:ascii="宋体" w:hAnsi="宋体" w:eastAsia="宋体" w:cs="Times New Roman"/>
      <w:kern w:val="0"/>
      <w:sz w:val="24"/>
    </w:rPr>
  </w:style>
  <w:style w:type="paragraph" w:styleId="3">
    <w:name w:val="heading 4"/>
    <w:basedOn w:val="1"/>
    <w:next w:val="1"/>
    <w:unhideWhenUsed/>
    <w:qFormat/>
    <w:uiPriority w:val="0"/>
    <w:pPr>
      <w:jc w:val="left"/>
      <w:outlineLvl w:val="3"/>
    </w:pPr>
    <w:rPr>
      <w:rFonts w:hint="eastAsia" w:ascii="宋体" w:hAnsi="宋体" w:eastAsia="宋体" w:cs="Times New Roman"/>
      <w:kern w:val="0"/>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5"/>
    <w:unhideWhenUsed/>
    <w:qFormat/>
    <w:uiPriority w:val="0"/>
    <w:pPr>
      <w:jc w:val="left"/>
    </w:pPr>
  </w:style>
  <w:style w:type="paragraph" w:styleId="5">
    <w:name w:val="Body Text"/>
    <w:basedOn w:val="1"/>
    <w:next w:val="1"/>
    <w:qFormat/>
    <w:uiPriority w:val="10"/>
    <w:rPr>
      <w:rFonts w:ascii="方正小标宋简体" w:hAnsi="方正小标宋简体" w:eastAsia="方正小标宋简体"/>
      <w:b/>
      <w:kern w:val="0"/>
      <w:sz w:val="44"/>
      <w:szCs w:val="44"/>
    </w:rPr>
  </w:style>
  <w:style w:type="paragraph" w:styleId="6">
    <w:name w:val="Plain Text"/>
    <w:basedOn w:val="1"/>
    <w:link w:val="32"/>
    <w:qFormat/>
    <w:uiPriority w:val="0"/>
    <w:rPr>
      <w:rFonts w:ascii="宋体" w:hAnsi="Courier New" w:eastAsia="宋体" w:cs="Courier New"/>
      <w:kern w:val="0"/>
      <w:sz w:val="20"/>
      <w:szCs w:val="21"/>
    </w:rPr>
  </w:style>
  <w:style w:type="paragraph" w:styleId="7">
    <w:name w:val="Balloon Text"/>
    <w:basedOn w:val="1"/>
    <w:link w:val="37"/>
    <w:unhideWhenUsed/>
    <w:qFormat/>
    <w:uiPriority w:val="0"/>
    <w:rPr>
      <w:sz w:val="18"/>
      <w:szCs w:val="18"/>
    </w:rPr>
  </w:style>
  <w:style w:type="paragraph" w:styleId="8">
    <w:name w:val="footer"/>
    <w:basedOn w:val="1"/>
    <w:link w:val="30"/>
    <w:qFormat/>
    <w:uiPriority w:val="99"/>
    <w:pPr>
      <w:tabs>
        <w:tab w:val="center" w:pos="4153"/>
        <w:tab w:val="right" w:pos="8306"/>
      </w:tabs>
      <w:snapToGrid w:val="0"/>
      <w:jc w:val="left"/>
    </w:pPr>
    <w:rPr>
      <w:sz w:val="18"/>
      <w:szCs w:val="18"/>
    </w:rPr>
  </w:style>
  <w:style w:type="paragraph" w:styleId="9">
    <w:name w:val="header"/>
    <w:basedOn w:val="1"/>
    <w:link w:val="29"/>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qFormat/>
    <w:uiPriority w:val="99"/>
    <w:pPr>
      <w:jc w:val="left"/>
    </w:pPr>
    <w:rPr>
      <w:rFonts w:cs="Times New Roman"/>
      <w:kern w:val="0"/>
      <w:sz w:val="24"/>
    </w:rPr>
  </w:style>
  <w:style w:type="paragraph" w:styleId="11">
    <w:name w:val="annotation subject"/>
    <w:basedOn w:val="4"/>
    <w:next w:val="4"/>
    <w:link w:val="36"/>
    <w:autoRedefine/>
    <w:unhideWhenUsed/>
    <w:qFormat/>
    <w:uiPriority w:val="0"/>
    <w:rPr>
      <w:b/>
      <w:bCs/>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llowedHyperlink"/>
    <w:basedOn w:val="14"/>
    <w:qFormat/>
    <w:uiPriority w:val="0"/>
    <w:rPr>
      <w:color w:val="333333"/>
      <w:u w:val="none"/>
    </w:rPr>
  </w:style>
  <w:style w:type="character" w:styleId="17">
    <w:name w:val="Emphasis"/>
    <w:basedOn w:val="14"/>
    <w:autoRedefine/>
    <w:qFormat/>
    <w:uiPriority w:val="0"/>
  </w:style>
  <w:style w:type="character" w:styleId="18">
    <w:name w:val="HTML Definition"/>
    <w:basedOn w:val="14"/>
    <w:autoRedefine/>
    <w:qFormat/>
    <w:uiPriority w:val="0"/>
  </w:style>
  <w:style w:type="character" w:styleId="19">
    <w:name w:val="HTML Acronym"/>
    <w:basedOn w:val="14"/>
    <w:qFormat/>
    <w:uiPriority w:val="0"/>
  </w:style>
  <w:style w:type="character" w:styleId="20">
    <w:name w:val="HTML Variable"/>
    <w:basedOn w:val="14"/>
    <w:autoRedefine/>
    <w:qFormat/>
    <w:uiPriority w:val="0"/>
  </w:style>
  <w:style w:type="character" w:styleId="21">
    <w:name w:val="Hyperlink"/>
    <w:basedOn w:val="14"/>
    <w:qFormat/>
    <w:uiPriority w:val="0"/>
    <w:rPr>
      <w:color w:val="333333"/>
      <w:u w:val="none"/>
    </w:rPr>
  </w:style>
  <w:style w:type="character" w:styleId="22">
    <w:name w:val="HTML Code"/>
    <w:basedOn w:val="14"/>
    <w:qFormat/>
    <w:uiPriority w:val="0"/>
    <w:rPr>
      <w:rFonts w:ascii="Courier New" w:hAnsi="Courier New"/>
      <w:sz w:val="20"/>
    </w:rPr>
  </w:style>
  <w:style w:type="character" w:styleId="23">
    <w:name w:val="annotation reference"/>
    <w:basedOn w:val="14"/>
    <w:unhideWhenUsed/>
    <w:qFormat/>
    <w:uiPriority w:val="0"/>
    <w:rPr>
      <w:sz w:val="21"/>
      <w:szCs w:val="21"/>
    </w:rPr>
  </w:style>
  <w:style w:type="character" w:styleId="24">
    <w:name w:val="HTML Cite"/>
    <w:basedOn w:val="14"/>
    <w:qFormat/>
    <w:uiPriority w:val="0"/>
  </w:style>
  <w:style w:type="character" w:customStyle="1" w:styleId="25">
    <w:name w:val="current"/>
    <w:basedOn w:val="14"/>
    <w:qFormat/>
    <w:uiPriority w:val="0"/>
    <w:rPr>
      <w:b/>
      <w:bCs/>
      <w:color w:val="FFFFFF"/>
      <w:bdr w:val="single" w:color="7D6543" w:sz="6" w:space="0"/>
      <w:shd w:val="clear" w:color="auto" w:fill="7D6543"/>
    </w:rPr>
  </w:style>
  <w:style w:type="character" w:customStyle="1" w:styleId="26">
    <w:name w:val="disabled"/>
    <w:basedOn w:val="14"/>
    <w:qFormat/>
    <w:uiPriority w:val="0"/>
    <w:rPr>
      <w:color w:val="999999"/>
      <w:bdr w:val="single" w:color="C5C5C5" w:sz="6" w:space="0"/>
    </w:rPr>
  </w:style>
  <w:style w:type="character" w:customStyle="1" w:styleId="27">
    <w:name w:val="font11"/>
    <w:basedOn w:val="14"/>
    <w:autoRedefine/>
    <w:qFormat/>
    <w:uiPriority w:val="0"/>
    <w:rPr>
      <w:rFonts w:hint="eastAsia" w:ascii="宋体" w:hAnsi="宋体" w:eastAsia="宋体" w:cs="宋体"/>
      <w:color w:val="000000"/>
      <w:sz w:val="24"/>
      <w:szCs w:val="24"/>
      <w:u w:val="none"/>
    </w:rPr>
  </w:style>
  <w:style w:type="character" w:customStyle="1" w:styleId="28">
    <w:name w:val="font31"/>
    <w:basedOn w:val="14"/>
    <w:qFormat/>
    <w:uiPriority w:val="0"/>
    <w:rPr>
      <w:rFonts w:hint="eastAsia" w:ascii="宋体" w:hAnsi="宋体" w:eastAsia="宋体" w:cs="宋体"/>
      <w:color w:val="000000"/>
      <w:sz w:val="24"/>
      <w:szCs w:val="24"/>
      <w:u w:val="none"/>
    </w:rPr>
  </w:style>
  <w:style w:type="character" w:customStyle="1" w:styleId="29">
    <w:name w:val="页眉 字符"/>
    <w:basedOn w:val="14"/>
    <w:link w:val="9"/>
    <w:qFormat/>
    <w:uiPriority w:val="99"/>
    <w:rPr>
      <w:rFonts w:asciiTheme="minorHAnsi" w:hAnsiTheme="minorHAnsi" w:eastAsiaTheme="minorEastAsia" w:cstheme="minorBidi"/>
      <w:kern w:val="2"/>
      <w:sz w:val="18"/>
      <w:szCs w:val="18"/>
    </w:rPr>
  </w:style>
  <w:style w:type="character" w:customStyle="1" w:styleId="30">
    <w:name w:val="页脚 字符"/>
    <w:basedOn w:val="14"/>
    <w:link w:val="8"/>
    <w:qFormat/>
    <w:uiPriority w:val="99"/>
    <w:rPr>
      <w:rFonts w:asciiTheme="minorHAnsi" w:hAnsiTheme="minorHAnsi" w:eastAsiaTheme="minorEastAsia" w:cstheme="minorBidi"/>
      <w:kern w:val="2"/>
      <w:sz w:val="18"/>
      <w:szCs w:val="18"/>
    </w:rPr>
  </w:style>
  <w:style w:type="paragraph" w:customStyle="1" w:styleId="31">
    <w:name w:val="列出段落1"/>
    <w:basedOn w:val="1"/>
    <w:unhideWhenUsed/>
    <w:qFormat/>
    <w:uiPriority w:val="99"/>
    <w:pPr>
      <w:ind w:firstLine="420" w:firstLineChars="200"/>
    </w:pPr>
  </w:style>
  <w:style w:type="character" w:customStyle="1" w:styleId="32">
    <w:name w:val="纯文本 字符"/>
    <w:basedOn w:val="14"/>
    <w:link w:val="6"/>
    <w:qFormat/>
    <w:uiPriority w:val="0"/>
    <w:rPr>
      <w:rFonts w:ascii="宋体" w:hAnsi="Courier New" w:cs="Courier New"/>
      <w:szCs w:val="21"/>
    </w:rPr>
  </w:style>
  <w:style w:type="paragraph" w:customStyle="1" w:styleId="33">
    <w:name w:val="无间隔1"/>
    <w:link w:val="34"/>
    <w:qFormat/>
    <w:uiPriority w:val="1"/>
    <w:rPr>
      <w:rFonts w:asciiTheme="minorHAnsi" w:hAnsiTheme="minorHAnsi" w:eastAsiaTheme="minorEastAsia" w:cstheme="minorBidi"/>
      <w:sz w:val="22"/>
      <w:szCs w:val="22"/>
      <w:lang w:val="en-US" w:eastAsia="zh-CN" w:bidi="ar-SA"/>
    </w:rPr>
  </w:style>
  <w:style w:type="character" w:customStyle="1" w:styleId="34">
    <w:name w:val="无间隔 Char"/>
    <w:basedOn w:val="14"/>
    <w:link w:val="33"/>
    <w:qFormat/>
    <w:uiPriority w:val="1"/>
    <w:rPr>
      <w:rFonts w:asciiTheme="minorHAnsi" w:hAnsiTheme="minorHAnsi" w:eastAsiaTheme="minorEastAsia" w:cstheme="minorBidi"/>
      <w:sz w:val="22"/>
      <w:szCs w:val="22"/>
    </w:rPr>
  </w:style>
  <w:style w:type="character" w:customStyle="1" w:styleId="35">
    <w:name w:val="批注文字 字符"/>
    <w:basedOn w:val="14"/>
    <w:link w:val="4"/>
    <w:semiHidden/>
    <w:qFormat/>
    <w:uiPriority w:val="0"/>
    <w:rPr>
      <w:rFonts w:asciiTheme="minorHAnsi" w:hAnsiTheme="minorHAnsi" w:eastAsiaTheme="minorEastAsia" w:cstheme="minorBidi"/>
      <w:kern w:val="2"/>
      <w:sz w:val="21"/>
      <w:szCs w:val="24"/>
    </w:rPr>
  </w:style>
  <w:style w:type="character" w:customStyle="1" w:styleId="36">
    <w:name w:val="批注主题 字符"/>
    <w:basedOn w:val="35"/>
    <w:link w:val="11"/>
    <w:semiHidden/>
    <w:qFormat/>
    <w:uiPriority w:val="0"/>
    <w:rPr>
      <w:rFonts w:asciiTheme="minorHAnsi" w:hAnsiTheme="minorHAnsi" w:eastAsiaTheme="minorEastAsia" w:cstheme="minorBidi"/>
      <w:b/>
      <w:bCs/>
      <w:kern w:val="2"/>
      <w:sz w:val="21"/>
      <w:szCs w:val="24"/>
    </w:rPr>
  </w:style>
  <w:style w:type="character" w:customStyle="1" w:styleId="37">
    <w:name w:val="批注框文本 字符"/>
    <w:basedOn w:val="14"/>
    <w:link w:val="7"/>
    <w:semiHidden/>
    <w:qFormat/>
    <w:uiPriority w:val="0"/>
    <w:rPr>
      <w:rFonts w:asciiTheme="minorHAnsi" w:hAnsiTheme="minorHAnsi" w:eastAsiaTheme="minorEastAsia" w:cstheme="minorBidi"/>
      <w:kern w:val="2"/>
      <w:sz w:val="18"/>
      <w:szCs w:val="18"/>
    </w:rPr>
  </w:style>
  <w:style w:type="paragraph" w:customStyle="1" w:styleId="38">
    <w:name w:val="Default"/>
    <w:autoRedefine/>
    <w:qFormat/>
    <w:uiPriority w:val="0"/>
    <w:pPr>
      <w:widowControl w:val="0"/>
      <w:autoSpaceDE w:val="0"/>
      <w:autoSpaceDN w:val="0"/>
      <w:adjustRightInd w:val="0"/>
      <w:jc w:val="center"/>
    </w:pPr>
    <w:rPr>
      <w:rFonts w:ascii="仿宋_GB2312" w:hAnsi="仿宋" w:eastAsia="仿宋_GB2312" w:cs="黑体"/>
      <w:bCs/>
      <w:color w:val="000000"/>
      <w:sz w:val="36"/>
      <w:szCs w:val="36"/>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DE2B7-C2ED-46FF-8FFB-057EE05C954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Pages>
  <Words>1134</Words>
  <Characters>1175</Characters>
  <Lines>15</Lines>
  <Paragraphs>4</Paragraphs>
  <TotalTime>0</TotalTime>
  <ScaleCrop>false</ScaleCrop>
  <LinksUpToDate>false</LinksUpToDate>
  <CharactersWithSpaces>1185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2022-01-12T07:29:00Z</dcterms:created>
  <dc:creator>Administrator</dc:creator>
  <cp:lastModifiedBy>李哲</cp:lastModifiedBy>
  <cp:lastPrinted>2025-04-14T00:56:00Z</cp:lastPrinted>
  <dcterms:modified xsi:type="dcterms:W3CDTF">2026-08-28T08:07:51Z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7887D386E68643D3A9C68A83CCCCDA2B_13</vt:lpwstr>
  </property>
  <property fmtid="{D5CDD505-2E9C-101B-9397-08002B2CF9AE}" pid="4" name="KSOTemplateDocerSaveRecord">
    <vt:lpwstr>eyJoZGlkIjoiZWQyY2NkZTdhMWM4YzhjMDE3ZTdkMTI1ZDEwYTcxMWQiLCJ1c2VySWQiOiIzMDkzNzAxNDUifQ==</vt:lpwstr>
  </property>
</Properties>
</file>