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360" w:lineRule="auto"/>
        <w:jc w:val="center"/>
        <w:rPr>
          <w:rFonts w:hint="default"/>
        </w:rPr>
      </w:pPr>
      <w:r>
        <w:t>关于组织申报202</w:t>
      </w:r>
      <w:r>
        <w:rPr>
          <w:rFonts w:hint="eastAsia"/>
          <w:lang w:val="en-US" w:eastAsia="zh-CN"/>
        </w:rPr>
        <w:t>2</w:t>
      </w:r>
      <w:r>
        <w:t>年广西哲学社会科学规划课题的通知</w:t>
      </w:r>
    </w:p>
    <w:p>
      <w:pPr>
        <w:spacing w:line="360" w:lineRule="auto"/>
        <w:rPr>
          <w:rFonts w:ascii="仿宋" w:hAnsi="仿宋" w:eastAsia="仿宋" w:cs="宋体"/>
          <w:kern w:val="0"/>
          <w:szCs w:val="21"/>
        </w:rPr>
      </w:pPr>
    </w:p>
    <w:p>
      <w:pPr>
        <w:spacing w:line="360" w:lineRule="auto"/>
        <w:rPr>
          <w:rFonts w:ascii="仿宋" w:hAnsi="仿宋" w:eastAsia="仿宋" w:cs="宋体"/>
          <w:kern w:val="0"/>
          <w:szCs w:val="21"/>
        </w:rPr>
      </w:pPr>
      <w:r>
        <w:rPr>
          <w:rFonts w:hint="eastAsia" w:ascii="仿宋" w:hAnsi="仿宋" w:eastAsia="仿宋" w:cs="宋体"/>
          <w:kern w:val="0"/>
          <w:szCs w:val="21"/>
        </w:rPr>
        <w:t>各单位、部门：</w:t>
      </w:r>
    </w:p>
    <w:p>
      <w:pPr>
        <w:wordWrap w:val="0"/>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自治区哲学社会科学工作办公室近日发布了《2022年广西哲学社会科学规划研究课题申报公告》（原文网址：http://gx.wenming.cn/zxshkx/zxshkxtzgg/202205/t20220530_6392178.htm），现将材料转发给你们。请各单位精心组织、广泛发动，</w:t>
      </w:r>
      <w:r>
        <w:rPr>
          <w:rFonts w:hint="eastAsia" w:ascii="仿宋" w:hAnsi="仿宋" w:eastAsia="仿宋"/>
          <w:szCs w:val="21"/>
        </w:rPr>
        <w:t>严格审核申报资格、前期研究成果的真实性、课题组的研究实力和必备条件等，</w:t>
      </w:r>
      <w:r>
        <w:rPr>
          <w:rFonts w:hint="eastAsia" w:ascii="仿宋" w:hAnsi="仿宋" w:eastAsia="仿宋" w:cs="宋体"/>
          <w:kern w:val="0"/>
          <w:szCs w:val="21"/>
        </w:rPr>
        <w:t>确保高质量完成课题申报工作。</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rPr>
        <w:t>一、申报广西哲学社会科学规划研究课题的指导思想是高举中国特色社会主义伟大旗帜，坚持以马克思列宁主义、毛泽东思想、邓小平理论、“三个代表”重要思想、科学发展观、习近平新时代中国特色社会主义思想为指导，深入贯彻落实习近平总书记视察广西“4·27”重要讲话精神和对广西工作系列重要指示要求，贯彻落实党的十九大和十九届历次全会精神、自治区第十二次党代会精神，坚持以重大理论和实践问题为主攻方向，坚持基础研究和应用研究并重，推动广西哲学社会科学繁荣发展，为凝心聚力建设新时代中国特色社会主义壮美广西提供理论支撑和智力支持。</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ascii="仿宋" w:hAnsi="仿宋" w:eastAsia="仿宋" w:cs="宋体"/>
          <w:b/>
          <w:bCs/>
          <w:kern w:val="0"/>
          <w:szCs w:val="21"/>
        </w:rPr>
      </w:pPr>
      <w:r>
        <w:rPr>
          <w:rFonts w:hint="eastAsia" w:ascii="仿宋" w:hAnsi="仿宋" w:eastAsia="仿宋" w:cs="宋体"/>
          <w:kern w:val="0"/>
          <w:szCs w:val="21"/>
        </w:rPr>
        <w:t>二、《课题指南》在相关学科中拟定了一批重要选题方向，申请人可结合自己的学术专长和研究基础进行设计修改，也可以另拟选题。申报类别分为一般项目、青年项目、自筹项目。最终成果形式为专著、研究报告、论文集三类。课题的完成时间为2—3年。</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lang w:val="en-US" w:eastAsia="zh-CN"/>
        </w:rPr>
        <w:t>三、</w:t>
      </w:r>
      <w:r>
        <w:rPr>
          <w:rFonts w:hint="eastAsia" w:ascii="仿宋" w:hAnsi="仿宋" w:eastAsia="仿宋" w:cs="宋体"/>
          <w:kern w:val="0"/>
          <w:szCs w:val="21"/>
        </w:rPr>
        <w:t>申报广西社科课题，要体现鲜明的时代特征、问题导向和创新意识，着力推出体现自治区级水准的高水平研究成果。基础研究要密切跟踪国内外学术发展和学科建设的前沿和动态，着力推进学科体系、学术体系、话语体系建设和创新，力求具有原创性、开拓性和较高的学术思想价值；应用研究要立足党和国家事业发展需要，聚焦全区经济社会发展中的全局性、战略性和前瞻性的重大理论与实践问题，力求具有现实性、针对性和较强的决策参考价值。</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lang w:val="en-US" w:eastAsia="zh-CN"/>
        </w:rPr>
        <w:t>四、</w:t>
      </w:r>
      <w:r>
        <w:rPr>
          <w:rFonts w:hint="eastAsia" w:ascii="仿宋" w:hAnsi="仿宋" w:eastAsia="仿宋" w:cs="宋体"/>
          <w:kern w:val="0"/>
          <w:szCs w:val="21"/>
        </w:rPr>
        <w:t>申请人须符合以下条件：遵守中华人民共和国宪法和法律；在广西壮族自治区工作，具备主持项目研究能力和条件；具有副高级及以上专业技术职称（职务），或者具有博士学位。不具有副高级及以上专业技术职称（职务）、博士学位，且年龄不超过35周岁（1987年9月1日后出生）的，可以申报青年项目。</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rPr>
        <w:t>五、为避免一题多报、交叉申报和重复立项，确保申请人有足够的时间和精力从事课题研究，作如下限定：</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lang w:val="en-US" w:eastAsia="zh-CN"/>
        </w:rPr>
        <w:t>1.</w:t>
      </w:r>
      <w:r>
        <w:rPr>
          <w:rFonts w:hint="eastAsia" w:ascii="仿宋" w:hAnsi="仿宋" w:eastAsia="仿宋" w:cs="宋体"/>
          <w:kern w:val="0"/>
          <w:szCs w:val="21"/>
        </w:rPr>
        <w:t>课题负责人同年度只能作为主持人申报1项广西社科课题。</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lang w:val="en-US" w:eastAsia="zh-CN"/>
        </w:rPr>
        <w:t>2.</w:t>
      </w:r>
      <w:r>
        <w:rPr>
          <w:rFonts w:hint="eastAsia" w:ascii="仿宋" w:hAnsi="仿宋" w:eastAsia="仿宋" w:cs="宋体"/>
          <w:kern w:val="0"/>
          <w:szCs w:val="21"/>
        </w:rPr>
        <w:t>在研的国家社科基金项目、广西社科课题负责人不能申报新的广西社科课题。</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lang w:val="en-US" w:eastAsia="zh-CN"/>
        </w:rPr>
        <w:t>3.</w:t>
      </w:r>
      <w:r>
        <w:rPr>
          <w:rFonts w:hint="eastAsia" w:ascii="仿宋" w:hAnsi="仿宋" w:eastAsia="仿宋" w:cs="宋体"/>
          <w:kern w:val="0"/>
          <w:szCs w:val="21"/>
        </w:rPr>
        <w:t>不得以相同、相近的已立项项目或已出版的研究成果申报广西社科课题。</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rPr>
        <w:t>六、申请人须按</w:t>
      </w:r>
      <w:r>
        <w:rPr>
          <w:rFonts w:hint="eastAsia" w:ascii="仿宋" w:hAnsi="仿宋" w:eastAsia="仿宋" w:cs="宋体"/>
          <w:kern w:val="0"/>
          <w:szCs w:val="21"/>
          <w:lang w:val="en-US" w:eastAsia="zh-CN"/>
        </w:rPr>
        <w:t>通知</w:t>
      </w:r>
      <w:r>
        <w:rPr>
          <w:rFonts w:hint="eastAsia" w:ascii="仿宋" w:hAnsi="仿宋" w:eastAsia="仿宋" w:cs="宋体"/>
          <w:kern w:val="0"/>
          <w:szCs w:val="21"/>
        </w:rPr>
        <w:t>提供的《申请书》和《活页》如实填写，并保证没有知识产权争议。《活页》须匿名，不得出现申请人（包括课题组成员）的姓名、所在单位及相关信息，论证字数不超过6000字。凡存在弄虚作假、抄袭剽窃等学术不端行为的，一经发现查实，取消3年申报资格。</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rPr>
        <w:t>七、申请人所在单位</w:t>
      </w:r>
      <w:r>
        <w:rPr>
          <w:rFonts w:hint="eastAsia" w:ascii="仿宋" w:hAnsi="仿宋" w:eastAsia="仿宋" w:cs="宋体"/>
          <w:kern w:val="0"/>
          <w:szCs w:val="21"/>
          <w:lang w:eastAsia="zh-CN"/>
        </w:rPr>
        <w:t>、</w:t>
      </w:r>
      <w:r>
        <w:rPr>
          <w:rFonts w:hint="eastAsia" w:ascii="仿宋" w:hAnsi="仿宋" w:eastAsia="仿宋" w:cs="宋体"/>
          <w:kern w:val="0"/>
          <w:szCs w:val="21"/>
          <w:lang w:val="en-US" w:eastAsia="zh-CN"/>
        </w:rPr>
        <w:t>部门</w:t>
      </w:r>
      <w:r>
        <w:rPr>
          <w:rFonts w:hint="eastAsia" w:ascii="仿宋" w:hAnsi="仿宋" w:eastAsia="仿宋" w:cs="宋体"/>
          <w:kern w:val="0"/>
          <w:szCs w:val="21"/>
        </w:rPr>
        <w:t>要加强对申报工作的组织和指导，严把政治关，严格审核申报资格、前期研究成果的真实性、课题组的研究实力和必备条件等，并签署明确意见；做好纸质版材料及电子数据的汇总报送等工作。</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lang w:val="en-US" w:eastAsia="zh-CN"/>
        </w:rPr>
        <w:t>八</w:t>
      </w:r>
      <w:r>
        <w:rPr>
          <w:rFonts w:hint="eastAsia" w:ascii="仿宋" w:hAnsi="仿宋" w:eastAsia="仿宋" w:cs="宋体"/>
          <w:kern w:val="0"/>
          <w:szCs w:val="21"/>
        </w:rPr>
        <w:t>、申报流程</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rPr>
        <w:t>1.</w:t>
      </w:r>
      <w:r>
        <w:rPr>
          <w:rFonts w:hint="eastAsia" w:ascii="仿宋" w:hAnsi="仿宋" w:eastAsia="仿宋" w:cs="宋体"/>
          <w:kern w:val="0"/>
          <w:szCs w:val="21"/>
          <w:lang w:val="en-US" w:eastAsia="zh-CN"/>
        </w:rPr>
        <w:t>申请人填写申报材料</w:t>
      </w:r>
      <w:r>
        <w:rPr>
          <w:rFonts w:hint="eastAsia" w:ascii="仿宋" w:hAnsi="仿宋" w:eastAsia="仿宋" w:cs="宋体"/>
          <w:kern w:val="0"/>
          <w:szCs w:val="21"/>
        </w:rPr>
        <w:t>及</w:t>
      </w:r>
      <w:r>
        <w:rPr>
          <w:rFonts w:hint="eastAsia" w:ascii="仿宋" w:hAnsi="仿宋" w:eastAsia="仿宋" w:cs="宋体"/>
          <w:kern w:val="0"/>
          <w:szCs w:val="21"/>
          <w:lang w:eastAsia="zh-CN"/>
        </w:rPr>
        <w:t>《</w:t>
      </w:r>
      <w:r>
        <w:rPr>
          <w:rFonts w:hint="eastAsia" w:ascii="仿宋" w:hAnsi="仿宋" w:eastAsia="仿宋" w:cs="宋体"/>
          <w:kern w:val="0"/>
          <w:szCs w:val="21"/>
        </w:rPr>
        <w:t>科研项目和成果申报审批表</w:t>
      </w:r>
      <w:r>
        <w:rPr>
          <w:rFonts w:hint="eastAsia" w:ascii="仿宋" w:hAnsi="仿宋" w:eastAsia="仿宋" w:cs="宋体"/>
          <w:kern w:val="0"/>
          <w:szCs w:val="21"/>
          <w:lang w:eastAsia="zh-CN"/>
        </w:rPr>
        <w:t>》</w:t>
      </w:r>
      <w:r>
        <w:rPr>
          <w:rFonts w:hint="eastAsia" w:ascii="仿宋" w:hAnsi="仿宋" w:eastAsia="仿宋" w:cs="宋体"/>
          <w:kern w:val="0"/>
          <w:szCs w:val="21"/>
        </w:rPr>
        <w:t>交至二级单位审核。</w:t>
      </w:r>
    </w:p>
    <w:p>
      <w:pPr>
        <w:keepNext w:val="0"/>
        <w:keepLines w:val="0"/>
        <w:pageBreakBefore w:val="0"/>
        <w:widowControl w:val="0"/>
        <w:numPr>
          <w:ilvl w:val="0"/>
          <w:numId w:val="0"/>
        </w:numPr>
        <w:kinsoku/>
        <w:wordWrap w:val="0"/>
        <w:overflowPunct/>
        <w:topLinePunct w:val="0"/>
        <w:autoSpaceDE/>
        <w:autoSpaceDN/>
        <w:bidi w:val="0"/>
        <w:adjustRightInd/>
        <w:spacing w:line="360" w:lineRule="auto"/>
        <w:ind w:firstLine="420" w:firstLineChars="200"/>
        <w:textAlignment w:val="auto"/>
        <w:rPr>
          <w:rFonts w:ascii="仿宋" w:hAnsi="仿宋" w:eastAsia="仿宋"/>
          <w:sz w:val="21"/>
          <w:szCs w:val="21"/>
        </w:rPr>
      </w:pPr>
      <w:r>
        <w:rPr>
          <w:rFonts w:hint="eastAsia" w:ascii="仿宋" w:hAnsi="仿宋" w:eastAsia="仿宋" w:cs="宋体"/>
          <w:kern w:val="0"/>
          <w:szCs w:val="21"/>
          <w:lang w:val="en-US" w:eastAsia="zh-CN"/>
        </w:rPr>
        <w:t>2.</w:t>
      </w:r>
      <w:r>
        <w:rPr>
          <w:rFonts w:hint="eastAsia" w:ascii="仿宋" w:hAnsi="仿宋" w:eastAsia="仿宋" w:cs="宋体"/>
          <w:kern w:val="0"/>
          <w:szCs w:val="21"/>
        </w:rPr>
        <w:t>各二级单位、部门于202</w:t>
      </w:r>
      <w:r>
        <w:rPr>
          <w:rFonts w:hint="eastAsia" w:ascii="仿宋" w:hAnsi="仿宋" w:eastAsia="仿宋" w:cs="宋体"/>
          <w:kern w:val="0"/>
          <w:szCs w:val="21"/>
          <w:lang w:val="en-US" w:eastAsia="zh-CN"/>
        </w:rPr>
        <w:t>2</w:t>
      </w:r>
      <w:r>
        <w:rPr>
          <w:rFonts w:hint="eastAsia" w:ascii="仿宋" w:hAnsi="仿宋" w:eastAsia="仿宋" w:cs="宋体"/>
          <w:kern w:val="0"/>
          <w:szCs w:val="21"/>
        </w:rPr>
        <w:t>年</w:t>
      </w:r>
      <w:r>
        <w:rPr>
          <w:rFonts w:hint="eastAsia" w:ascii="仿宋" w:hAnsi="仿宋" w:eastAsia="仿宋" w:cs="宋体"/>
          <w:kern w:val="0"/>
          <w:szCs w:val="21"/>
          <w:lang w:val="en-US" w:eastAsia="zh-CN"/>
        </w:rPr>
        <w:t>8</w:t>
      </w:r>
      <w:r>
        <w:rPr>
          <w:rFonts w:hint="eastAsia" w:ascii="仿宋" w:hAnsi="仿宋" w:eastAsia="仿宋" w:cs="宋体"/>
          <w:kern w:val="0"/>
          <w:szCs w:val="21"/>
        </w:rPr>
        <w:t>月</w:t>
      </w:r>
      <w:r>
        <w:rPr>
          <w:rFonts w:hint="eastAsia" w:ascii="仿宋" w:hAnsi="仿宋" w:eastAsia="仿宋" w:cs="宋体"/>
          <w:kern w:val="0"/>
          <w:szCs w:val="21"/>
          <w:lang w:val="en-US" w:eastAsia="zh-CN"/>
        </w:rPr>
        <w:t>15</w:t>
      </w:r>
      <w:r>
        <w:rPr>
          <w:rFonts w:hint="eastAsia" w:ascii="仿宋" w:hAnsi="仿宋" w:eastAsia="仿宋" w:cs="宋体"/>
          <w:kern w:val="0"/>
          <w:szCs w:val="21"/>
        </w:rPr>
        <w:t>日前将</w:t>
      </w:r>
      <w:r>
        <w:rPr>
          <w:rFonts w:hint="eastAsia" w:ascii="仿宋" w:hAnsi="仿宋" w:eastAsia="仿宋" w:cs="宋体"/>
          <w:kern w:val="0"/>
          <w:szCs w:val="21"/>
          <w:lang w:val="en-US" w:eastAsia="zh-CN"/>
        </w:rPr>
        <w:t>审核通过的</w:t>
      </w:r>
      <w:r>
        <w:rPr>
          <w:rFonts w:hint="eastAsia" w:ascii="仿宋" w:hAnsi="仿宋" w:eastAsia="仿宋" w:cs="宋体"/>
          <w:kern w:val="0"/>
          <w:szCs w:val="21"/>
          <w:lang w:eastAsia="zh-CN"/>
        </w:rPr>
        <w:t>《</w:t>
      </w:r>
      <w:r>
        <w:rPr>
          <w:rFonts w:hint="eastAsia" w:ascii="仿宋" w:hAnsi="仿宋" w:eastAsia="仿宋" w:cs="宋体"/>
          <w:kern w:val="0"/>
          <w:szCs w:val="21"/>
        </w:rPr>
        <w:t>科研项目和成果申报审批表</w:t>
      </w:r>
      <w:r>
        <w:rPr>
          <w:rFonts w:hint="eastAsia" w:ascii="仿宋" w:hAnsi="仿宋" w:eastAsia="仿宋" w:cs="宋体"/>
          <w:kern w:val="0"/>
          <w:szCs w:val="21"/>
          <w:lang w:eastAsia="zh-CN"/>
        </w:rPr>
        <w:t>》</w:t>
      </w:r>
      <w:r>
        <w:rPr>
          <w:rFonts w:hint="eastAsia" w:ascii="仿宋" w:hAnsi="仿宋" w:eastAsia="仿宋" w:cs="宋体"/>
          <w:kern w:val="0"/>
          <w:szCs w:val="21"/>
          <w:lang w:val="en-US" w:eastAsia="zh-CN"/>
        </w:rPr>
        <w:t>及</w:t>
      </w:r>
      <w:r>
        <w:rPr>
          <w:rFonts w:hint="eastAsia" w:ascii="仿宋" w:hAnsi="仿宋" w:eastAsia="仿宋" w:cs="宋体"/>
          <w:kern w:val="0"/>
          <w:szCs w:val="21"/>
        </w:rPr>
        <w:t>申报材料</w:t>
      </w:r>
      <w:r>
        <w:rPr>
          <w:rFonts w:hint="eastAsia" w:ascii="仿宋" w:hAnsi="仿宋" w:eastAsia="仿宋" w:cs="宋体"/>
          <w:kern w:val="0"/>
          <w:szCs w:val="21"/>
          <w:lang w:eastAsia="zh-CN"/>
        </w:rPr>
        <w:t>（</w:t>
      </w:r>
      <w:r>
        <w:rPr>
          <w:rFonts w:hint="eastAsia" w:ascii="仿宋" w:hAnsi="仿宋" w:eastAsia="仿宋"/>
          <w:sz w:val="21"/>
          <w:szCs w:val="21"/>
        </w:rPr>
        <w:t>确保电子版和纸质版</w:t>
      </w:r>
      <w:r>
        <w:rPr>
          <w:rFonts w:hint="eastAsia" w:ascii="仿宋" w:hAnsi="仿宋" w:eastAsia="仿宋"/>
          <w:sz w:val="21"/>
          <w:szCs w:val="21"/>
          <w:lang w:val="en-US" w:eastAsia="zh-CN"/>
        </w:rPr>
        <w:t>材料</w:t>
      </w:r>
      <w:r>
        <w:rPr>
          <w:rFonts w:hint="eastAsia" w:ascii="仿宋" w:hAnsi="仿宋" w:eastAsia="仿宋"/>
          <w:sz w:val="21"/>
          <w:szCs w:val="21"/>
        </w:rPr>
        <w:t>一致</w:t>
      </w:r>
      <w:r>
        <w:rPr>
          <w:rFonts w:hint="eastAsia" w:ascii="仿宋" w:hAnsi="仿宋" w:eastAsia="仿宋"/>
          <w:sz w:val="21"/>
          <w:szCs w:val="21"/>
          <w:lang w:eastAsia="zh-CN"/>
        </w:rPr>
        <w:t>）</w:t>
      </w:r>
      <w:r>
        <w:rPr>
          <w:rFonts w:hint="eastAsia" w:ascii="仿宋" w:hAnsi="仿宋" w:eastAsia="仿宋"/>
          <w:sz w:val="21"/>
          <w:szCs w:val="21"/>
        </w:rPr>
        <w:t>交至科技处，逾期不予受理。</w:t>
      </w:r>
    </w:p>
    <w:p>
      <w:pPr>
        <w:pStyle w:val="3"/>
        <w:keepNext w:val="0"/>
        <w:keepLines w:val="0"/>
        <w:pageBreakBefore w:val="0"/>
        <w:widowControl w:val="0"/>
        <w:shd w:val="clear" w:color="auto" w:fill="FFFFFF"/>
        <w:kinsoku/>
        <w:overflowPunct/>
        <w:topLinePunct w:val="0"/>
        <w:autoSpaceDE/>
        <w:autoSpaceDN/>
        <w:bidi w:val="0"/>
        <w:adjustRightInd/>
        <w:snapToGrid w:val="0"/>
        <w:spacing w:beforeAutospacing="0" w:afterAutospacing="0" w:line="360" w:lineRule="auto"/>
        <w:ind w:firstLine="420" w:firstLineChars="200"/>
        <w:textAlignment w:val="auto"/>
        <w:rPr>
          <w:rFonts w:ascii="仿宋" w:hAnsi="仿宋" w:eastAsia="仿宋"/>
          <w:sz w:val="21"/>
          <w:szCs w:val="21"/>
        </w:rPr>
      </w:pPr>
      <w:r>
        <w:rPr>
          <w:rFonts w:hint="eastAsia" w:ascii="仿宋" w:hAnsi="仿宋" w:eastAsia="仿宋"/>
          <w:sz w:val="21"/>
          <w:szCs w:val="21"/>
          <w:lang w:val="en-US" w:eastAsia="zh-CN"/>
        </w:rPr>
        <w:t>3.</w:t>
      </w:r>
      <w:r>
        <w:rPr>
          <w:rFonts w:hint="eastAsia" w:ascii="仿宋" w:hAnsi="仿宋" w:eastAsia="仿宋"/>
          <w:sz w:val="21"/>
          <w:szCs w:val="21"/>
        </w:rPr>
        <w:t>纸质版申报材料：《申请书》</w:t>
      </w:r>
      <w:r>
        <w:rPr>
          <w:rFonts w:hint="eastAsia" w:ascii="仿宋" w:hAnsi="仿宋" w:eastAsia="仿宋"/>
          <w:sz w:val="21"/>
          <w:szCs w:val="21"/>
          <w:lang w:val="en-US" w:eastAsia="zh-CN"/>
        </w:rPr>
        <w:t>3</w:t>
      </w:r>
      <w:r>
        <w:rPr>
          <w:rFonts w:hint="eastAsia" w:ascii="仿宋" w:hAnsi="仿宋" w:eastAsia="仿宋"/>
          <w:sz w:val="21"/>
          <w:szCs w:val="21"/>
        </w:rPr>
        <w:t>份，《活页》5份</w:t>
      </w:r>
      <w:r>
        <w:rPr>
          <w:rFonts w:hint="eastAsia" w:ascii="仿宋" w:hAnsi="仿宋" w:eastAsia="仿宋"/>
          <w:sz w:val="21"/>
          <w:szCs w:val="21"/>
          <w:lang w:eastAsia="zh-CN"/>
        </w:rPr>
        <w:t>，</w:t>
      </w:r>
      <w:r>
        <w:rPr>
          <w:rFonts w:hint="eastAsia" w:ascii="仿宋" w:hAnsi="仿宋" w:eastAsia="仿宋"/>
          <w:sz w:val="21"/>
          <w:szCs w:val="21"/>
        </w:rPr>
        <w:t>《汇总表》1份</w:t>
      </w:r>
      <w:r>
        <w:rPr>
          <w:rFonts w:hint="eastAsia" w:ascii="仿宋" w:hAnsi="仿宋" w:eastAsia="仿宋"/>
          <w:sz w:val="21"/>
          <w:szCs w:val="21"/>
          <w:lang w:eastAsia="zh-CN"/>
        </w:rPr>
        <w:t>。</w:t>
      </w:r>
      <w:r>
        <w:rPr>
          <w:rFonts w:hint="eastAsia" w:ascii="仿宋" w:hAnsi="仿宋" w:eastAsia="仿宋"/>
          <w:sz w:val="21"/>
          <w:szCs w:val="21"/>
        </w:rPr>
        <w:t>《申请书》《活页》</w:t>
      </w:r>
      <w:r>
        <w:rPr>
          <w:rFonts w:hint="eastAsia" w:ascii="仿宋" w:hAnsi="仿宋" w:eastAsia="仿宋"/>
          <w:sz w:val="21"/>
          <w:szCs w:val="21"/>
          <w:lang w:val="en-US" w:eastAsia="zh-CN"/>
        </w:rPr>
        <w:t>均</w:t>
      </w:r>
      <w:r>
        <w:rPr>
          <w:rFonts w:hint="eastAsia" w:ascii="仿宋" w:hAnsi="仿宋" w:eastAsia="仿宋"/>
          <w:sz w:val="21"/>
          <w:szCs w:val="21"/>
        </w:rPr>
        <w:t>用A3纸双面印制，中缝装订。采用“1夹</w:t>
      </w:r>
      <w:r>
        <w:rPr>
          <w:rFonts w:hint="eastAsia" w:ascii="仿宋" w:hAnsi="仿宋" w:eastAsia="仿宋"/>
          <w:sz w:val="21"/>
          <w:szCs w:val="21"/>
          <w:lang w:val="en-US" w:eastAsia="zh-CN"/>
        </w:rPr>
        <w:t>7</w:t>
      </w:r>
      <w:r>
        <w:rPr>
          <w:rFonts w:hint="eastAsia" w:ascii="仿宋" w:hAnsi="仿宋" w:eastAsia="仿宋"/>
          <w:sz w:val="21"/>
          <w:szCs w:val="21"/>
        </w:rPr>
        <w:t>”方式叠放，即将</w:t>
      </w:r>
      <w:r>
        <w:rPr>
          <w:rFonts w:hint="eastAsia" w:ascii="仿宋" w:hAnsi="仿宋" w:eastAsia="仿宋"/>
          <w:sz w:val="21"/>
          <w:szCs w:val="21"/>
          <w:lang w:val="en-US" w:eastAsia="zh-CN"/>
        </w:rPr>
        <w:t>2</w:t>
      </w:r>
      <w:r>
        <w:rPr>
          <w:rFonts w:hint="eastAsia" w:ascii="仿宋" w:hAnsi="仿宋" w:eastAsia="仿宋"/>
          <w:sz w:val="21"/>
          <w:szCs w:val="21"/>
        </w:rPr>
        <w:t>份《申请书》和5份《活页》叠放在一起，夹在剩余的《申请书》的中缝处</w:t>
      </w:r>
      <w:r>
        <w:rPr>
          <w:rFonts w:hint="eastAsia" w:ascii="仿宋" w:hAnsi="仿宋" w:eastAsia="仿宋"/>
          <w:sz w:val="21"/>
          <w:szCs w:val="21"/>
          <w:lang w:eastAsia="zh-CN"/>
        </w:rPr>
        <w:t>。</w:t>
      </w:r>
      <w:r>
        <w:rPr>
          <w:rFonts w:hint="eastAsia" w:ascii="仿宋" w:hAnsi="仿宋" w:eastAsia="仿宋"/>
          <w:sz w:val="21"/>
          <w:szCs w:val="21"/>
        </w:rPr>
        <w:t>《汇总表》加盖公章。</w:t>
      </w:r>
    </w:p>
    <w:p>
      <w:pPr>
        <w:pStyle w:val="3"/>
        <w:keepNext w:val="0"/>
        <w:keepLines w:val="0"/>
        <w:pageBreakBefore w:val="0"/>
        <w:widowControl w:val="0"/>
        <w:shd w:val="clear" w:color="auto" w:fill="FFFFFF"/>
        <w:kinsoku/>
        <w:overflowPunct/>
        <w:topLinePunct w:val="0"/>
        <w:autoSpaceDE/>
        <w:autoSpaceDN/>
        <w:bidi w:val="0"/>
        <w:adjustRightInd/>
        <w:snapToGrid w:val="0"/>
        <w:spacing w:beforeAutospacing="0" w:afterAutospacing="0" w:line="360" w:lineRule="auto"/>
        <w:ind w:firstLine="420" w:firstLineChars="200"/>
        <w:textAlignment w:val="auto"/>
        <w:rPr>
          <w:rFonts w:ascii="仿宋" w:hAnsi="仿宋" w:eastAsia="仿宋"/>
          <w:sz w:val="21"/>
          <w:szCs w:val="21"/>
        </w:rPr>
      </w:pPr>
      <w:r>
        <w:rPr>
          <w:rFonts w:hint="eastAsia" w:ascii="仿宋" w:hAnsi="仿宋" w:eastAsia="仿宋"/>
          <w:sz w:val="21"/>
          <w:szCs w:val="21"/>
          <w:lang w:val="en-US" w:eastAsia="zh-CN"/>
        </w:rPr>
        <w:t>4.</w:t>
      </w:r>
      <w:r>
        <w:rPr>
          <w:rFonts w:hint="eastAsia" w:ascii="仿宋" w:hAnsi="仿宋" w:eastAsia="仿宋"/>
          <w:sz w:val="21"/>
          <w:szCs w:val="21"/>
        </w:rPr>
        <w:t>电子版申报材料：一级文件夹以单位名称命名，二级文件夹以学科分类命名，文档以申请人姓名+材料名称命名，如“张三申请书”和“张三活页”。《汇总表》1份。邮件以“单位名称+202</w:t>
      </w:r>
      <w:r>
        <w:rPr>
          <w:rFonts w:hint="eastAsia" w:ascii="仿宋" w:hAnsi="仿宋" w:eastAsia="仿宋"/>
          <w:sz w:val="21"/>
          <w:szCs w:val="21"/>
          <w:lang w:val="en-US" w:eastAsia="zh-CN"/>
        </w:rPr>
        <w:t>2</w:t>
      </w:r>
      <w:r>
        <w:rPr>
          <w:rFonts w:hint="eastAsia" w:ascii="仿宋" w:hAnsi="仿宋" w:eastAsia="仿宋"/>
          <w:sz w:val="21"/>
          <w:szCs w:val="21"/>
        </w:rPr>
        <w:t>广西哲社科”命名发送至科技处邮箱。</w:t>
      </w:r>
    </w:p>
    <w:p>
      <w:pPr>
        <w:pStyle w:val="3"/>
        <w:keepNext w:val="0"/>
        <w:keepLines w:val="0"/>
        <w:pageBreakBefore w:val="0"/>
        <w:widowControl w:val="0"/>
        <w:shd w:val="clear" w:color="auto" w:fill="FFFFFF"/>
        <w:kinsoku/>
        <w:overflowPunct/>
        <w:topLinePunct w:val="0"/>
        <w:autoSpaceDE/>
        <w:autoSpaceDN/>
        <w:bidi w:val="0"/>
        <w:adjustRightInd/>
        <w:snapToGrid w:val="0"/>
        <w:spacing w:beforeAutospacing="0" w:afterAutospacing="0" w:line="360" w:lineRule="auto"/>
        <w:ind w:firstLine="420" w:firstLineChars="200"/>
        <w:textAlignment w:val="auto"/>
        <w:rPr>
          <w:rStyle w:val="6"/>
          <w:rFonts w:ascii="仿宋" w:hAnsi="仿宋" w:eastAsia="仿宋"/>
          <w:b w:val="0"/>
          <w:bCs w:val="0"/>
          <w:sz w:val="21"/>
          <w:szCs w:val="21"/>
        </w:rPr>
      </w:pPr>
      <w:r>
        <w:rPr>
          <w:rStyle w:val="6"/>
          <w:rFonts w:hint="eastAsia" w:ascii="仿宋" w:hAnsi="仿宋" w:eastAsia="仿宋"/>
          <w:b w:val="0"/>
          <w:bCs w:val="0"/>
          <w:sz w:val="21"/>
          <w:szCs w:val="21"/>
          <w:lang w:val="en-US" w:eastAsia="zh-CN"/>
        </w:rPr>
        <w:t>九</w:t>
      </w:r>
      <w:r>
        <w:rPr>
          <w:rStyle w:val="6"/>
          <w:rFonts w:hint="eastAsia" w:ascii="仿宋" w:hAnsi="仿宋" w:eastAsia="仿宋"/>
          <w:b w:val="0"/>
          <w:bCs w:val="0"/>
          <w:sz w:val="21"/>
          <w:szCs w:val="21"/>
        </w:rPr>
        <w:t>、联系方式</w:t>
      </w:r>
    </w:p>
    <w:p>
      <w:pPr>
        <w:pStyle w:val="3"/>
        <w:keepNext w:val="0"/>
        <w:keepLines w:val="0"/>
        <w:pageBreakBefore w:val="0"/>
        <w:widowControl w:val="0"/>
        <w:shd w:val="clear" w:color="auto" w:fill="FFFFFF"/>
        <w:kinsoku/>
        <w:overflowPunct/>
        <w:topLinePunct w:val="0"/>
        <w:autoSpaceDE/>
        <w:autoSpaceDN/>
        <w:bidi w:val="0"/>
        <w:adjustRightInd/>
        <w:snapToGrid w:val="0"/>
        <w:spacing w:beforeAutospacing="0" w:afterAutospacing="0" w:line="360" w:lineRule="auto"/>
        <w:ind w:firstLine="420" w:firstLineChars="200"/>
        <w:textAlignment w:val="auto"/>
        <w:rPr>
          <w:rFonts w:ascii="仿宋" w:hAnsi="仿宋" w:eastAsia="仿宋"/>
          <w:sz w:val="21"/>
          <w:szCs w:val="21"/>
        </w:rPr>
      </w:pPr>
      <w:r>
        <w:rPr>
          <w:rFonts w:hint="eastAsia" w:ascii="仿宋" w:hAnsi="仿宋" w:eastAsia="仿宋"/>
          <w:sz w:val="21"/>
          <w:szCs w:val="21"/>
        </w:rPr>
        <w:t>未尽事宜，请申报人先联系所在单位、部门的科管人员。确无法解决的问题，可联系学校科技处。</w:t>
      </w:r>
    </w:p>
    <w:p>
      <w:pPr>
        <w:pStyle w:val="3"/>
        <w:shd w:val="clear" w:color="auto" w:fill="FFFFFF"/>
        <w:snapToGrid w:val="0"/>
        <w:spacing w:beforeAutospacing="0" w:afterAutospacing="0" w:line="360" w:lineRule="auto"/>
        <w:ind w:firstLine="420" w:firstLineChars="200"/>
        <w:rPr>
          <w:rFonts w:ascii="仿宋" w:hAnsi="仿宋" w:eastAsia="仿宋"/>
          <w:sz w:val="21"/>
          <w:szCs w:val="21"/>
        </w:rPr>
      </w:pPr>
      <w:r>
        <w:rPr>
          <w:rFonts w:hint="eastAsia" w:ascii="仿宋" w:hAnsi="仿宋" w:eastAsia="仿宋"/>
          <w:sz w:val="21"/>
          <w:szCs w:val="21"/>
        </w:rPr>
        <w:t>学校科技处联系方式：</w:t>
      </w:r>
    </w:p>
    <w:p>
      <w:pPr>
        <w:pStyle w:val="3"/>
        <w:shd w:val="clear" w:color="auto" w:fill="FFFFFF"/>
        <w:snapToGrid w:val="0"/>
        <w:spacing w:beforeAutospacing="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联系人：刘显、李熠毅</w:t>
      </w:r>
    </w:p>
    <w:p>
      <w:pPr>
        <w:pStyle w:val="3"/>
        <w:shd w:val="clear" w:color="auto" w:fill="FFFFFF"/>
        <w:snapToGrid w:val="0"/>
        <w:spacing w:beforeAutospacing="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联系电话：0771-3941063</w:t>
      </w:r>
    </w:p>
    <w:p>
      <w:pPr>
        <w:pStyle w:val="3"/>
        <w:shd w:val="clear" w:color="auto" w:fill="FFFFFF"/>
        <w:snapToGrid w:val="0"/>
        <w:spacing w:beforeAutospacing="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联系地址：仙葫校区合德楼313室</w:t>
      </w:r>
    </w:p>
    <w:p>
      <w:pPr>
        <w:pStyle w:val="3"/>
        <w:shd w:val="clear" w:color="auto" w:fill="FFFFFF"/>
        <w:snapToGrid w:val="0"/>
        <w:spacing w:beforeAutospacing="0" w:afterAutospacing="0" w:line="360" w:lineRule="auto"/>
        <w:ind w:firstLine="420" w:firstLineChars="200"/>
        <w:rPr>
          <w:rFonts w:ascii="仿宋" w:hAnsi="仿宋" w:eastAsia="仿宋"/>
          <w:sz w:val="21"/>
          <w:szCs w:val="21"/>
        </w:rPr>
      </w:pPr>
      <w:r>
        <w:rPr>
          <w:rFonts w:hint="eastAsia" w:ascii="仿宋" w:hAnsi="仿宋" w:eastAsia="仿宋"/>
          <w:sz w:val="21"/>
          <w:szCs w:val="21"/>
        </w:rPr>
        <w:t>联系邮箱：</w:t>
      </w:r>
      <w:r>
        <w:fldChar w:fldCharType="begin"/>
      </w:r>
      <w:r>
        <w:instrText xml:space="preserve"> HYPERLINK "mailto:kejichujihuake@163.com" </w:instrText>
      </w:r>
      <w:r>
        <w:fldChar w:fldCharType="separate"/>
      </w:r>
      <w:r>
        <w:rPr>
          <w:rFonts w:hint="eastAsia" w:ascii="仿宋" w:hAnsi="仿宋" w:eastAsia="仿宋"/>
          <w:sz w:val="21"/>
          <w:szCs w:val="21"/>
        </w:rPr>
        <w:t>kejichujihuake@163.com</w:t>
      </w:r>
      <w:r>
        <w:rPr>
          <w:rFonts w:hint="eastAsia" w:ascii="仿宋" w:hAnsi="仿宋" w:eastAsia="仿宋"/>
          <w:sz w:val="21"/>
          <w:szCs w:val="21"/>
        </w:rPr>
        <w:fldChar w:fldCharType="end"/>
      </w:r>
    </w:p>
    <w:p>
      <w:pPr>
        <w:spacing w:line="360" w:lineRule="auto"/>
        <w:ind w:firstLine="420" w:firstLineChars="200"/>
        <w:rPr>
          <w:rFonts w:ascii="仿宋" w:hAnsi="仿宋" w:eastAsia="仿宋" w:cs="宋体"/>
          <w:kern w:val="0"/>
          <w:szCs w:val="21"/>
        </w:rPr>
      </w:pPr>
    </w:p>
    <w:p>
      <w:pPr>
        <w:spacing w:line="360" w:lineRule="auto"/>
        <w:ind w:firstLine="420" w:firstLineChars="200"/>
        <w:rPr>
          <w:rFonts w:ascii="仿宋" w:hAnsi="仿宋" w:eastAsia="仿宋" w:cs="宋体"/>
          <w:kern w:val="0"/>
          <w:szCs w:val="21"/>
        </w:rPr>
      </w:pP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　附件：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宋体"/>
          <w:kern w:val="0"/>
          <w:szCs w:val="21"/>
        </w:rPr>
      </w:pPr>
      <w:r>
        <w:rPr>
          <w:rFonts w:hint="eastAsia" w:ascii="仿宋" w:hAnsi="仿宋" w:eastAsia="仿宋" w:cs="宋体"/>
          <w:kern w:val="0"/>
          <w:szCs w:val="21"/>
        </w:rPr>
        <w:t>1. 202</w:t>
      </w:r>
      <w:r>
        <w:rPr>
          <w:rFonts w:hint="eastAsia" w:ascii="仿宋" w:hAnsi="仿宋" w:eastAsia="仿宋" w:cs="宋体"/>
          <w:kern w:val="0"/>
          <w:szCs w:val="21"/>
          <w:lang w:val="en-US" w:eastAsia="zh-CN"/>
        </w:rPr>
        <w:t>2</w:t>
      </w:r>
      <w:r>
        <w:rPr>
          <w:rFonts w:hint="eastAsia" w:ascii="仿宋" w:hAnsi="仿宋" w:eastAsia="仿宋" w:cs="宋体"/>
          <w:kern w:val="0"/>
          <w:szCs w:val="21"/>
        </w:rPr>
        <w:t>年广西哲学社会科学规划研究课题指南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宋体"/>
          <w:kern w:val="0"/>
          <w:szCs w:val="21"/>
        </w:rPr>
      </w:pPr>
      <w:r>
        <w:rPr>
          <w:rFonts w:hint="eastAsia" w:ascii="仿宋" w:hAnsi="仿宋" w:eastAsia="仿宋" w:cs="宋体"/>
          <w:kern w:val="0"/>
          <w:szCs w:val="21"/>
        </w:rPr>
        <w:t>2. 202</w:t>
      </w:r>
      <w:r>
        <w:rPr>
          <w:rFonts w:hint="eastAsia" w:ascii="仿宋" w:hAnsi="仿宋" w:eastAsia="仿宋" w:cs="宋体"/>
          <w:kern w:val="0"/>
          <w:szCs w:val="21"/>
          <w:lang w:val="en-US" w:eastAsia="zh-CN"/>
        </w:rPr>
        <w:t>2</w:t>
      </w:r>
      <w:r>
        <w:rPr>
          <w:rFonts w:hint="eastAsia" w:ascii="仿宋" w:hAnsi="仿宋" w:eastAsia="仿宋" w:cs="宋体"/>
          <w:kern w:val="0"/>
          <w:szCs w:val="21"/>
        </w:rPr>
        <w:t>年广西哲学社会科学规划研究课题申报汇总表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宋体"/>
          <w:kern w:val="0"/>
          <w:szCs w:val="21"/>
        </w:rPr>
      </w:pPr>
      <w:r>
        <w:rPr>
          <w:rFonts w:hint="eastAsia" w:ascii="仿宋" w:hAnsi="仿宋" w:eastAsia="仿宋" w:cs="宋体"/>
          <w:kern w:val="0"/>
          <w:szCs w:val="21"/>
        </w:rPr>
        <w:t>3. 广西哲学社会科学规划研究课题申请书（202</w:t>
      </w:r>
      <w:r>
        <w:rPr>
          <w:rFonts w:hint="eastAsia" w:ascii="仿宋" w:hAnsi="仿宋" w:eastAsia="仿宋" w:cs="宋体"/>
          <w:kern w:val="0"/>
          <w:szCs w:val="21"/>
          <w:lang w:val="en-US" w:eastAsia="zh-CN"/>
        </w:rPr>
        <w:t>2</w:t>
      </w:r>
      <w:r>
        <w:rPr>
          <w:rFonts w:hint="eastAsia" w:ascii="仿宋" w:hAnsi="仿宋" w:eastAsia="仿宋" w:cs="宋体"/>
          <w:kern w:val="0"/>
          <w:szCs w:val="21"/>
        </w:rPr>
        <w:t>年版）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rPr>
        <w:t>4. 广西哲学社会科学规划研究《课题论证》活页（202</w:t>
      </w:r>
      <w:r>
        <w:rPr>
          <w:rFonts w:hint="eastAsia" w:ascii="仿宋" w:hAnsi="仿宋" w:eastAsia="仿宋" w:cs="宋体"/>
          <w:kern w:val="0"/>
          <w:szCs w:val="21"/>
          <w:lang w:val="en-US" w:eastAsia="zh-CN"/>
        </w:rPr>
        <w:t>2</w:t>
      </w:r>
      <w:r>
        <w:rPr>
          <w:rFonts w:hint="eastAsia" w:ascii="仿宋" w:hAnsi="仿宋" w:eastAsia="仿宋" w:cs="宋体"/>
          <w:kern w:val="0"/>
          <w:szCs w:val="21"/>
        </w:rPr>
        <w:t>年版）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宋体"/>
          <w:kern w:val="0"/>
          <w:szCs w:val="21"/>
        </w:rPr>
      </w:pPr>
      <w:r>
        <w:rPr>
          <w:rFonts w:hint="eastAsia" w:ascii="仿宋" w:hAnsi="仿宋" w:eastAsia="仿宋" w:cs="宋体"/>
          <w:kern w:val="0"/>
          <w:szCs w:val="21"/>
        </w:rPr>
        <w:t>5.广西中医药大学科研项目和成果审批表</w:t>
      </w:r>
    </w:p>
    <w:p>
      <w:pPr>
        <w:spacing w:line="360" w:lineRule="auto"/>
        <w:ind w:firstLine="420" w:firstLineChars="200"/>
        <w:rPr>
          <w:rFonts w:ascii="仿宋" w:hAnsi="仿宋" w:eastAsia="仿宋" w:cs="宋体"/>
          <w:kern w:val="0"/>
          <w:szCs w:val="21"/>
        </w:rPr>
      </w:pPr>
      <w:r>
        <w:rPr>
          <w:rFonts w:hint="eastAsia" w:ascii="仿宋" w:hAnsi="仿宋" w:eastAsia="仿宋" w:cs="宋体"/>
          <w:kern w:val="0"/>
          <w:szCs w:val="21"/>
        </w:rPr>
        <w:t xml:space="preserve"> </w:t>
      </w:r>
      <w:bookmarkStart w:id="0" w:name="_GoBack"/>
      <w:bookmarkEnd w:id="0"/>
    </w:p>
    <w:p>
      <w:pPr>
        <w:spacing w:line="360" w:lineRule="auto"/>
        <w:ind w:firstLine="420" w:firstLineChars="200"/>
        <w:rPr>
          <w:rFonts w:ascii="仿宋" w:hAnsi="仿宋" w:eastAsia="仿宋" w:cs="宋体"/>
          <w:kern w:val="0"/>
          <w:szCs w:val="21"/>
        </w:rPr>
      </w:pPr>
    </w:p>
    <w:p>
      <w:pPr>
        <w:pStyle w:val="3"/>
        <w:shd w:val="clear" w:color="auto" w:fill="FFFFFF"/>
        <w:snapToGrid w:val="0"/>
        <w:spacing w:beforeAutospacing="0" w:afterAutospacing="0" w:line="360" w:lineRule="auto"/>
        <w:ind w:firstLine="420" w:firstLineChars="200"/>
        <w:jc w:val="right"/>
        <w:rPr>
          <w:rFonts w:ascii="仿宋" w:hAnsi="仿宋" w:eastAsia="仿宋"/>
          <w:sz w:val="21"/>
          <w:szCs w:val="21"/>
        </w:rPr>
      </w:pPr>
      <w:r>
        <w:rPr>
          <w:rFonts w:hint="eastAsia" w:ascii="仿宋" w:hAnsi="仿宋" w:eastAsia="仿宋"/>
          <w:sz w:val="21"/>
          <w:szCs w:val="21"/>
        </w:rPr>
        <w:t>广西中医药大学科技处</w:t>
      </w:r>
    </w:p>
    <w:p>
      <w:pPr>
        <w:pStyle w:val="3"/>
        <w:shd w:val="clear" w:color="auto" w:fill="FFFFFF"/>
        <w:snapToGrid w:val="0"/>
        <w:spacing w:beforeAutospacing="0" w:afterAutospacing="0" w:line="360" w:lineRule="auto"/>
        <w:ind w:firstLine="420" w:firstLineChars="200"/>
        <w:jc w:val="right"/>
        <w:rPr>
          <w:rFonts w:ascii="仿宋" w:hAnsi="仿宋" w:eastAsia="仿宋"/>
          <w:sz w:val="21"/>
          <w:szCs w:val="21"/>
        </w:rPr>
      </w:pPr>
      <w:r>
        <w:rPr>
          <w:rFonts w:hint="eastAsia" w:ascii="仿宋" w:hAnsi="仿宋" w:eastAsia="仿宋"/>
          <w:sz w:val="21"/>
          <w:szCs w:val="21"/>
        </w:rPr>
        <w:t xml:space="preserve">                                       202</w:t>
      </w:r>
      <w:r>
        <w:rPr>
          <w:rFonts w:hint="eastAsia" w:ascii="仿宋" w:hAnsi="仿宋" w:eastAsia="仿宋"/>
          <w:sz w:val="21"/>
          <w:szCs w:val="21"/>
          <w:lang w:val="en-US" w:eastAsia="zh-CN"/>
        </w:rPr>
        <w:t>2</w:t>
      </w:r>
      <w:r>
        <w:rPr>
          <w:rFonts w:hint="eastAsia" w:ascii="仿宋" w:hAnsi="仿宋" w:eastAsia="仿宋"/>
          <w:sz w:val="21"/>
          <w:szCs w:val="21"/>
        </w:rPr>
        <w:t>年</w:t>
      </w:r>
      <w:r>
        <w:rPr>
          <w:rFonts w:hint="eastAsia" w:ascii="仿宋" w:hAnsi="仿宋" w:eastAsia="仿宋"/>
          <w:sz w:val="21"/>
          <w:szCs w:val="21"/>
          <w:lang w:val="en-US" w:eastAsia="zh-CN"/>
        </w:rPr>
        <w:t>6</w:t>
      </w:r>
      <w:r>
        <w:rPr>
          <w:rFonts w:hint="eastAsia" w:ascii="仿宋" w:hAnsi="仿宋" w:eastAsia="仿宋"/>
          <w:sz w:val="21"/>
          <w:szCs w:val="21"/>
        </w:rPr>
        <w:t>月</w:t>
      </w:r>
      <w:r>
        <w:rPr>
          <w:rFonts w:hint="eastAsia" w:ascii="仿宋" w:hAnsi="仿宋" w:eastAsia="仿宋"/>
          <w:sz w:val="21"/>
          <w:szCs w:val="21"/>
          <w:lang w:val="en-US" w:eastAsia="zh-CN"/>
        </w:rPr>
        <w:t>9</w:t>
      </w:r>
      <w:r>
        <w:rPr>
          <w:rFonts w:hint="eastAsia" w:ascii="仿宋" w:hAnsi="仿宋" w:eastAsia="仿宋"/>
          <w:sz w:val="21"/>
          <w:szCs w:val="21"/>
        </w:rPr>
        <w:t>日</w:t>
      </w:r>
    </w:p>
    <w:p>
      <w:pPr>
        <w:spacing w:line="360" w:lineRule="auto"/>
        <w:ind w:firstLine="420" w:firstLineChars="200"/>
        <w:rPr>
          <w:rFonts w:ascii="仿宋" w:hAnsi="仿宋" w:eastAsia="仿宋" w:cs="宋体"/>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wNTExMjY1ZGY5ZTQ2MWQ3ZDIxOWM2MDY0NGY4OTEifQ=="/>
  </w:docVars>
  <w:rsids>
    <w:rsidRoot w:val="00A5149B"/>
    <w:rsid w:val="00A06B5C"/>
    <w:rsid w:val="00A5149B"/>
    <w:rsid w:val="00A90B13"/>
    <w:rsid w:val="00CA7F85"/>
    <w:rsid w:val="00E22CEE"/>
    <w:rsid w:val="07823C94"/>
    <w:rsid w:val="0DD707F5"/>
    <w:rsid w:val="15F11D33"/>
    <w:rsid w:val="257A3BDF"/>
    <w:rsid w:val="2C3371B6"/>
    <w:rsid w:val="38493D68"/>
    <w:rsid w:val="5F9D763C"/>
    <w:rsid w:val="66F1311B"/>
    <w:rsid w:val="76D01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uiPriority w:val="0"/>
    <w:pPr>
      <w:spacing w:beforeAutospacing="1" w:afterAutospacing="1"/>
      <w:jc w:val="left"/>
    </w:pPr>
    <w:rPr>
      <w:rFonts w:cs="Times New Roman"/>
      <w:kern w:val="0"/>
      <w:sz w:val="24"/>
    </w:rPr>
  </w:style>
  <w:style w:type="character" w:styleId="6">
    <w:name w:val="Strong"/>
    <w:basedOn w:val="5"/>
    <w:qFormat/>
    <w:uiPriority w:val="22"/>
    <w:rPr>
      <w:b/>
      <w:bCs/>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1770</Words>
  <Characters>1921</Characters>
  <Lines>14</Lines>
  <Paragraphs>4</Paragraphs>
  <TotalTime>5</TotalTime>
  <ScaleCrop>false</ScaleCrop>
  <LinksUpToDate>false</LinksUpToDate>
  <CharactersWithSpaces>1966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2021-05-06T03:21:00Z</dcterms:created>
  <dc:creator>LiuXian</dc:creator>
  <cp:lastModifiedBy>刘显</cp:lastModifiedBy>
  <dcterms:modified xsi:type="dcterms:W3CDTF">2022-06-09T00:37:20Z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736A0460741C404C879F3FA906CD9D51</vt:lpwstr>
  </property>
</Properties>
</file>