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开展2021年上半年广西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职业教育教学改革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研究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项目结题工作的通知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各单位、部门：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根据《自治区教育厅关于开展广西职业教育教学改革研究项目2021年度结题工作的通知》（桂教职成〔2021〕14号），为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进一步推进广西职业教育教学改革，强化教学改革研究项目的规范管理，促进教学成果的推广应用，决定开展广西职业教育教改项目2021年度上半年结题工作，现将有关事项通知如下：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一、结题范围及方式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（一）结题范围。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年以来经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厅立项及201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教育厅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立项且经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教育厅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同意延期结题的广西职业教育教学改革研究项目。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（二）结题方式。由各申报结题单位报送材料（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《广西职业教育教学改革立项项目结题材料清单》（附件2）准备材料）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，广西教育厅委托广西职业教育发展研究中心组织专家评审，对同意结题的项目颁发结题证书。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二、时间安排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1.交申报材料纸质版、电子版及汇总表 :5月10日;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2.填报学校高教系统：5月1日—10日；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3.学校高教所审核：5月2日—11日；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4.申报人领取盖章页:5月21日;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5.填报区职教系统：5月24日—26日；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6.区职教中心系统审核：5月29—30日；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7.系统关闭：5月31日。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三、材料报送方式及要求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（一）材料填写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1.项目负责人填写《广西职业教育教学改革研究项目结题申请表》(附件3)、《广西职业教育教改项目重要事项变更审批表》(附件4)和《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-SA"/>
        </w:rPr>
        <w:t>广西职业教育教学改革立项项目结题汇总表》（附件5）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项目名称、项目组成员（包含改变顺序、增加、删减）有所变动的都需要填写《广西中医药大学教育教学改革与研究项目调整申请表》。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注：结题申请表中“六、项目经费使用情况”由个人前往财务盖章。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2.单位、部门汇总并填写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《广西职业教育教学改革立项项目结题汇总》（附件5）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（二）学校高教系统填报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1.201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年及之后立项的项目：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项目负责人登录“高校教师教学研究管理系统”（网址：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"http://jyxt.gxtcmu.edu.cn"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color w:val="000000"/>
          <w:sz w:val="24"/>
          <w:szCs w:val="24"/>
        </w:rPr>
        <w:t>http://jyxt.gxtcmu.edu.cn/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）填报。每个文件命名格式为：“姓名+项目名称+结题申请表/研究报告/成果/调整申请表”，其中研究报告、成果在“支撑材料”处上传，调整申请表在“进行变更”处上传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（填报流程详见附件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上传成功并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检查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无误后提交二级部门审核，二级部门审核通过后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推送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至主管部门。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系统开放时间为5月1日00：00至5月10日23：59。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2.201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年之前立项的项目：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无需系统填报，由学院、部门统一发送，</w:t>
      </w:r>
      <w:r>
        <w:rPr>
          <w:rFonts w:hint="eastAsia" w:ascii="仿宋" w:hAnsi="仿宋" w:eastAsia="仿宋" w:cs="仿宋"/>
          <w:color w:val="000000"/>
          <w:sz w:val="24"/>
          <w:szCs w:val="24"/>
          <w:shd w:val="clear" w:color="auto" w:fill="FFFFFF"/>
        </w:rPr>
        <w:t>不接受个人申报材料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（三）区职教系统填报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项目负责人填报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广西职业教育教学改革项目管理系统（http://zjps.gxtc.edu.cn/）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网站将于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日—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日开通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,该时间段外不开通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（四）上交材料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1.电子版材料：单位、部门将加盖公章的《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-SA"/>
        </w:rPr>
        <w:t>广西职业教育教学改革立项项目结题汇总表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》（附件5）和申请结题项目的所有材料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于5月10日下午五点前发送至邮箱359632686@qq.com，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邮件标题统一为“XXX(部门)2021年上半年广西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职业教育教学改革研究项目结题材料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内含个人结题材料；每人一个文件夹，命名格式为：“姓名+项目名称”；个人文件夹内文件命名格式为：“姓名+项目名称+结题申请表/研究报告/成果/调整申请表”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2.纸质版材料：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单位、部门将加盖公章的《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-SA"/>
        </w:rPr>
        <w:t>广西职业教育教学改革立项项目结题汇总表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》（附件5）和申请结题项目的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《广西职业教育教学改革研究项目结题申请表》(附件3)、《广西职业教育教改项目重要事项变更审批表》(附件4)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于5月10日下午五点前交至仙葫校区合德楼211室。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未尽事宜请与高等教育项目管理科联系，0771—3146616，联系人：陈老师，电话：13627878583；李静，电话：15077124630.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556" w:leftChars="284" w:hanging="960" w:hangingChars="4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附件： 1.自治区教育厅开展广西职业教育教学改革研究项目2021年度结题工作的通知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40" w:firstLineChars="6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2.广西职业教育教学改革研究项目结题材料清单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40" w:firstLineChars="6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广西职业教育教学改革研究项目结题申请表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40" w:firstLineChars="6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.广西职业教育教改项目重要事项变更审批表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40" w:firstLineChars="6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-SA"/>
        </w:rPr>
        <w:t>5.广西职业教育教学改革立项项目结题汇总表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40" w:firstLineChars="6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6.项目结题申请流程说明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00" w:firstLineChars="5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教育评价与质量保障中心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 高等教育研究所（合署）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 2021年4月20日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08FD92"/>
    <w:multiLevelType w:val="singleLevel"/>
    <w:tmpl w:val="4708FD9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52D5A"/>
    <w:rsid w:val="00501DA2"/>
    <w:rsid w:val="015E2A57"/>
    <w:rsid w:val="06807B48"/>
    <w:rsid w:val="10AA47ED"/>
    <w:rsid w:val="11F40806"/>
    <w:rsid w:val="175A175D"/>
    <w:rsid w:val="17830BBD"/>
    <w:rsid w:val="20386A0C"/>
    <w:rsid w:val="22463069"/>
    <w:rsid w:val="23C07A4B"/>
    <w:rsid w:val="27B10CC5"/>
    <w:rsid w:val="28CA5994"/>
    <w:rsid w:val="2B615AE4"/>
    <w:rsid w:val="2BB77656"/>
    <w:rsid w:val="2C19432A"/>
    <w:rsid w:val="2CB75DDC"/>
    <w:rsid w:val="2CCA1205"/>
    <w:rsid w:val="2CD678B2"/>
    <w:rsid w:val="2EB5329F"/>
    <w:rsid w:val="2EE2236B"/>
    <w:rsid w:val="319333D6"/>
    <w:rsid w:val="38CF7D12"/>
    <w:rsid w:val="3B187854"/>
    <w:rsid w:val="3D3B1209"/>
    <w:rsid w:val="40D66F32"/>
    <w:rsid w:val="41CF0C6F"/>
    <w:rsid w:val="437647C7"/>
    <w:rsid w:val="438B4B32"/>
    <w:rsid w:val="460B62B7"/>
    <w:rsid w:val="4A72186E"/>
    <w:rsid w:val="4CA34982"/>
    <w:rsid w:val="4E082EA9"/>
    <w:rsid w:val="502738AD"/>
    <w:rsid w:val="52BB74ED"/>
    <w:rsid w:val="53B122EA"/>
    <w:rsid w:val="552D4014"/>
    <w:rsid w:val="55952D5A"/>
    <w:rsid w:val="566039FF"/>
    <w:rsid w:val="5B4E29B7"/>
    <w:rsid w:val="5EDE0035"/>
    <w:rsid w:val="63B050B3"/>
    <w:rsid w:val="64A65407"/>
    <w:rsid w:val="66EC6A3E"/>
    <w:rsid w:val="6D722567"/>
    <w:rsid w:val="702938A7"/>
    <w:rsid w:val="706B579D"/>
    <w:rsid w:val="72D67DF4"/>
    <w:rsid w:val="746E4BE4"/>
    <w:rsid w:val="75E1193B"/>
    <w:rsid w:val="7EFA00D4"/>
    <w:rsid w:val="7FD7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510"/>
    </w:pPr>
    <w:rPr>
      <w:rFonts w:ascii="Times New Roman" w:hAnsi="Times New Roman" w:eastAsia="方正仿宋简体" w:cs="Times New Roman"/>
      <w:sz w:val="32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2020-04-13T07:58:00Z</dcterms:created>
  <dc:creator>匿名用户</dc:creator>
  <cp:lastModifiedBy>高教所</cp:lastModifiedBy>
  <dcterms:modified xsi:type="dcterms:W3CDTF">2021-04-21T02:49:06Z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F2DCBC393F9543778E5D54D534018888</vt:lpwstr>
  </property>
</Properties>
</file>