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452" w:line="28" w:lineRule="atLeast"/>
        <w:jc w:val="left"/>
        <w:rPr>
          <w:rFonts w:ascii="??_GB2312" w:hAnsi="Arial" w:eastAsia="Times New Roman" w:cs="Arial"/>
          <w:color w:val="000000"/>
          <w:shd w:val="clear" w:color="auto" w:fill="FFFFFF"/>
        </w:rPr>
      </w:pPr>
      <w:r>
        <w:rPr>
          <w:rFonts w:ascii="??_GB2312" w:hAnsi="Arial" w:eastAsia="Times New Roman" w:cs="Arial"/>
          <w:color w:val="000000"/>
          <w:shd w:val="clear" w:color="auto" w:fill="FFFFFF"/>
        </w:rPr>
        <w:t>附件：</w:t>
      </w:r>
    </w:p>
    <w:p>
      <w:pPr>
        <w:pStyle w:val="2"/>
        <w:widowControl/>
        <w:spacing w:after="452" w:line="28" w:lineRule="atLeast"/>
        <w:jc w:val="left"/>
        <w:rPr>
          <w:rFonts w:ascii="宋体" w:cs="宋体"/>
          <w:b/>
          <w:bCs/>
          <w:color w:val="000000"/>
          <w:sz w:val="28"/>
          <w:szCs w:val="28"/>
          <w:shd w:val="clear" w:color="auto" w:fill="FFFFFF"/>
        </w:rPr>
      </w:pPr>
      <w:r>
        <w:rPr>
          <w:rFonts w:hint="eastAsia" w:ascii="宋体" w:hAnsi="宋体" w:cs="宋体"/>
          <w:b/>
          <w:bCs/>
          <w:color w:val="000000"/>
          <w:sz w:val="28"/>
          <w:szCs w:val="28"/>
          <w:shd w:val="clear" w:color="auto" w:fill="FFFFFF"/>
        </w:rPr>
        <w:t>广西中医药大学</w:t>
      </w:r>
      <w:r>
        <w:rPr>
          <w:rFonts w:ascii="宋体" w:hAnsi="宋体" w:cs="宋体"/>
          <w:b/>
          <w:bCs/>
          <w:color w:val="000000"/>
          <w:sz w:val="28"/>
          <w:szCs w:val="28"/>
          <w:shd w:val="clear" w:color="auto" w:fill="FFFFFF"/>
        </w:rPr>
        <w:t>2018</w:t>
      </w:r>
      <w:r>
        <w:rPr>
          <w:rFonts w:hint="eastAsia" w:ascii="宋体" w:hAnsi="宋体" w:cs="宋体"/>
          <w:b/>
          <w:bCs/>
          <w:color w:val="000000"/>
          <w:sz w:val="28"/>
          <w:szCs w:val="28"/>
          <w:shd w:val="clear" w:color="auto" w:fill="FFFFFF"/>
        </w:rPr>
        <w:t>年“</w:t>
      </w:r>
      <w:r>
        <w:rPr>
          <w:rFonts w:ascii="宋体" w:hAnsi="宋体" w:cs="宋体"/>
          <w:b/>
          <w:bCs/>
          <w:color w:val="000000"/>
          <w:sz w:val="28"/>
          <w:szCs w:val="28"/>
          <w:shd w:val="clear" w:color="auto" w:fill="FFFFFF"/>
        </w:rPr>
        <w:t>SCI</w:t>
      </w:r>
      <w:r>
        <w:rPr>
          <w:rFonts w:hint="eastAsia" w:ascii="宋体" w:hAnsi="宋体" w:cs="宋体"/>
          <w:b/>
          <w:bCs/>
          <w:color w:val="000000"/>
          <w:sz w:val="28"/>
          <w:szCs w:val="28"/>
          <w:shd w:val="clear" w:color="auto" w:fill="FFFFFF"/>
        </w:rPr>
        <w:t>论文写作提升培训班”报名回执表</w:t>
      </w:r>
    </w:p>
    <w:tbl>
      <w:tblPr>
        <w:tblStyle w:val="5"/>
        <w:tblpPr w:leftFromText="180" w:rightFromText="180" w:vertAnchor="text" w:horzAnchor="page" w:tblpX="1692" w:tblpY="191"/>
        <w:tblOverlap w:val="never"/>
        <w:tblW w:w="13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239"/>
        <w:gridCol w:w="2189"/>
        <w:gridCol w:w="1436"/>
        <w:gridCol w:w="1350"/>
        <w:gridCol w:w="2989"/>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71" w:type="dxa"/>
            <w:vAlign w:val="center"/>
          </w:tcPr>
          <w:p>
            <w:pPr>
              <w:pStyle w:val="2"/>
              <w:widowControl/>
              <w:spacing w:after="452" w:line="28" w:lineRule="atLeast"/>
              <w:jc w:val="left"/>
              <w:rPr>
                <w:color w:val="333333"/>
              </w:rPr>
            </w:pPr>
            <w:r>
              <w:rPr>
                <w:rFonts w:hint="eastAsia"/>
                <w:color w:val="333333"/>
              </w:rPr>
              <w:t>序号</w:t>
            </w:r>
          </w:p>
        </w:tc>
        <w:tc>
          <w:tcPr>
            <w:tcW w:w="1239" w:type="dxa"/>
            <w:vAlign w:val="center"/>
          </w:tcPr>
          <w:p>
            <w:pPr>
              <w:pStyle w:val="2"/>
              <w:widowControl/>
              <w:spacing w:after="452" w:line="28" w:lineRule="atLeast"/>
              <w:jc w:val="left"/>
              <w:rPr>
                <w:color w:val="333333"/>
              </w:rPr>
            </w:pPr>
            <w:r>
              <w:rPr>
                <w:rFonts w:hint="eastAsia"/>
                <w:color w:val="333333"/>
              </w:rPr>
              <w:t>姓名</w:t>
            </w:r>
          </w:p>
        </w:tc>
        <w:tc>
          <w:tcPr>
            <w:tcW w:w="2189" w:type="dxa"/>
            <w:vAlign w:val="center"/>
          </w:tcPr>
          <w:p>
            <w:pPr>
              <w:pStyle w:val="2"/>
              <w:widowControl/>
              <w:spacing w:after="452" w:line="28" w:lineRule="atLeast"/>
              <w:jc w:val="left"/>
              <w:rPr>
                <w:color w:val="333333"/>
              </w:rPr>
            </w:pPr>
            <w:r>
              <w:rPr>
                <w:rFonts w:hint="eastAsia"/>
                <w:color w:val="333333"/>
              </w:rPr>
              <w:t>所在单位</w:t>
            </w:r>
            <w:r>
              <w:rPr>
                <w:color w:val="333333"/>
              </w:rPr>
              <w:t>/</w:t>
            </w:r>
            <w:r>
              <w:rPr>
                <w:rFonts w:hint="eastAsia"/>
                <w:color w:val="333333"/>
              </w:rPr>
              <w:t>部门</w:t>
            </w:r>
          </w:p>
        </w:tc>
        <w:tc>
          <w:tcPr>
            <w:tcW w:w="1436" w:type="dxa"/>
            <w:vAlign w:val="center"/>
          </w:tcPr>
          <w:p>
            <w:pPr>
              <w:pStyle w:val="2"/>
              <w:widowControl/>
              <w:spacing w:after="452" w:line="28" w:lineRule="atLeast"/>
              <w:jc w:val="left"/>
              <w:rPr>
                <w:color w:val="333333"/>
              </w:rPr>
            </w:pPr>
            <w:r>
              <w:rPr>
                <w:rFonts w:hint="eastAsia"/>
                <w:color w:val="333333"/>
              </w:rPr>
              <w:t>学历</w:t>
            </w:r>
            <w:r>
              <w:rPr>
                <w:color w:val="333333"/>
              </w:rPr>
              <w:t>/</w:t>
            </w:r>
            <w:r>
              <w:rPr>
                <w:rFonts w:hint="eastAsia"/>
                <w:color w:val="333333"/>
              </w:rPr>
              <w:t>学位</w:t>
            </w:r>
          </w:p>
        </w:tc>
        <w:tc>
          <w:tcPr>
            <w:tcW w:w="1350" w:type="dxa"/>
            <w:vAlign w:val="center"/>
          </w:tcPr>
          <w:p>
            <w:pPr>
              <w:pStyle w:val="2"/>
              <w:widowControl/>
              <w:spacing w:after="452" w:line="28" w:lineRule="atLeast"/>
              <w:jc w:val="left"/>
              <w:rPr>
                <w:color w:val="333333"/>
              </w:rPr>
            </w:pPr>
            <w:r>
              <w:rPr>
                <w:rFonts w:hint="eastAsia"/>
                <w:color w:val="333333"/>
              </w:rPr>
              <w:t>职称</w:t>
            </w:r>
          </w:p>
        </w:tc>
        <w:tc>
          <w:tcPr>
            <w:tcW w:w="2989" w:type="dxa"/>
            <w:vAlign w:val="center"/>
          </w:tcPr>
          <w:p>
            <w:pPr>
              <w:pStyle w:val="2"/>
              <w:widowControl/>
              <w:spacing w:after="452" w:line="28" w:lineRule="atLeast"/>
              <w:jc w:val="left"/>
              <w:rPr>
                <w:rFonts w:hint="eastAsia" w:eastAsia="宋体"/>
                <w:color w:val="333333"/>
                <w:lang w:eastAsia="zh-CN"/>
              </w:rPr>
            </w:pPr>
            <w:r>
              <w:rPr>
                <w:rFonts w:hint="eastAsia"/>
                <w:color w:val="333333"/>
                <w:lang w:eastAsia="zh-CN"/>
              </w:rPr>
              <w:t>联系电话</w:t>
            </w:r>
          </w:p>
        </w:tc>
        <w:tc>
          <w:tcPr>
            <w:tcW w:w="3514" w:type="dxa"/>
            <w:vAlign w:val="center"/>
          </w:tcPr>
          <w:p>
            <w:pPr>
              <w:pStyle w:val="2"/>
              <w:widowControl/>
              <w:spacing w:after="452" w:line="28" w:lineRule="atLeast"/>
              <w:jc w:val="left"/>
              <w:rPr>
                <w:rFonts w:hint="eastAsia" w:eastAsia="宋体"/>
                <w:color w:val="333333"/>
                <w:lang w:eastAsia="zh-CN"/>
              </w:rPr>
            </w:pPr>
            <w:r>
              <w:rPr>
                <w:rFonts w:hint="eastAsia"/>
                <w:color w:val="333333"/>
                <w:lang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 w:type="dxa"/>
            <w:vAlign w:val="center"/>
          </w:tcPr>
          <w:p>
            <w:pPr>
              <w:pStyle w:val="2"/>
              <w:widowControl/>
              <w:spacing w:after="452" w:line="28" w:lineRule="atLeast"/>
              <w:jc w:val="left"/>
              <w:rPr>
                <w:color w:val="333333"/>
              </w:rPr>
            </w:pPr>
          </w:p>
        </w:tc>
        <w:tc>
          <w:tcPr>
            <w:tcW w:w="1239" w:type="dxa"/>
            <w:vAlign w:val="center"/>
          </w:tcPr>
          <w:p>
            <w:pPr>
              <w:pStyle w:val="2"/>
              <w:widowControl/>
              <w:spacing w:after="452" w:line="28" w:lineRule="atLeast"/>
              <w:jc w:val="left"/>
              <w:rPr>
                <w:color w:val="333333"/>
              </w:rPr>
            </w:pPr>
          </w:p>
        </w:tc>
        <w:tc>
          <w:tcPr>
            <w:tcW w:w="2189" w:type="dxa"/>
            <w:vAlign w:val="center"/>
          </w:tcPr>
          <w:p>
            <w:pPr>
              <w:pStyle w:val="2"/>
              <w:widowControl/>
              <w:spacing w:after="452" w:line="28" w:lineRule="atLeast"/>
              <w:jc w:val="left"/>
              <w:rPr>
                <w:color w:val="333333"/>
              </w:rPr>
            </w:pPr>
          </w:p>
        </w:tc>
        <w:tc>
          <w:tcPr>
            <w:tcW w:w="1436" w:type="dxa"/>
            <w:vAlign w:val="center"/>
          </w:tcPr>
          <w:p>
            <w:pPr>
              <w:pStyle w:val="2"/>
              <w:widowControl/>
              <w:spacing w:after="452" w:line="28" w:lineRule="atLeast"/>
              <w:jc w:val="left"/>
              <w:rPr>
                <w:color w:val="333333"/>
              </w:rPr>
            </w:pPr>
          </w:p>
        </w:tc>
        <w:tc>
          <w:tcPr>
            <w:tcW w:w="1350" w:type="dxa"/>
            <w:vAlign w:val="center"/>
          </w:tcPr>
          <w:p>
            <w:pPr>
              <w:pStyle w:val="2"/>
              <w:widowControl/>
              <w:spacing w:after="452" w:line="28" w:lineRule="atLeast"/>
              <w:jc w:val="left"/>
              <w:rPr>
                <w:color w:val="333333"/>
              </w:rPr>
            </w:pPr>
          </w:p>
        </w:tc>
        <w:tc>
          <w:tcPr>
            <w:tcW w:w="2989" w:type="dxa"/>
            <w:vAlign w:val="center"/>
          </w:tcPr>
          <w:p>
            <w:pPr>
              <w:pStyle w:val="2"/>
              <w:widowControl/>
              <w:spacing w:after="452" w:line="28" w:lineRule="atLeast"/>
              <w:jc w:val="left"/>
              <w:rPr>
                <w:color w:val="333333"/>
              </w:rPr>
            </w:pPr>
          </w:p>
        </w:tc>
        <w:tc>
          <w:tcPr>
            <w:tcW w:w="3514" w:type="dxa"/>
            <w:vAlign w:val="center"/>
          </w:tcPr>
          <w:p>
            <w:pPr>
              <w:pStyle w:val="2"/>
              <w:widowControl/>
              <w:spacing w:after="452" w:line="28" w:lineRule="atLeast"/>
              <w:jc w:val="left"/>
              <w:rPr>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 w:type="dxa"/>
          </w:tcPr>
          <w:p>
            <w:pPr>
              <w:pStyle w:val="2"/>
              <w:widowControl/>
              <w:spacing w:after="452" w:line="28" w:lineRule="atLeast"/>
              <w:jc w:val="left"/>
              <w:rPr>
                <w:color w:val="333333"/>
              </w:rPr>
            </w:pPr>
          </w:p>
        </w:tc>
        <w:tc>
          <w:tcPr>
            <w:tcW w:w="1239" w:type="dxa"/>
          </w:tcPr>
          <w:p>
            <w:pPr>
              <w:pStyle w:val="2"/>
              <w:widowControl/>
              <w:spacing w:after="452" w:line="28" w:lineRule="atLeast"/>
              <w:jc w:val="left"/>
              <w:rPr>
                <w:color w:val="333333"/>
              </w:rPr>
            </w:pPr>
          </w:p>
        </w:tc>
        <w:tc>
          <w:tcPr>
            <w:tcW w:w="2189" w:type="dxa"/>
          </w:tcPr>
          <w:p>
            <w:pPr>
              <w:pStyle w:val="2"/>
              <w:widowControl/>
              <w:spacing w:after="452" w:line="28" w:lineRule="atLeast"/>
              <w:jc w:val="left"/>
              <w:rPr>
                <w:color w:val="333333"/>
              </w:rPr>
            </w:pPr>
          </w:p>
        </w:tc>
        <w:tc>
          <w:tcPr>
            <w:tcW w:w="1436" w:type="dxa"/>
          </w:tcPr>
          <w:p>
            <w:pPr>
              <w:pStyle w:val="2"/>
              <w:widowControl/>
              <w:spacing w:after="452" w:line="28" w:lineRule="atLeast"/>
              <w:jc w:val="left"/>
              <w:rPr>
                <w:color w:val="333333"/>
              </w:rPr>
            </w:pPr>
          </w:p>
        </w:tc>
        <w:tc>
          <w:tcPr>
            <w:tcW w:w="1350" w:type="dxa"/>
          </w:tcPr>
          <w:p>
            <w:pPr>
              <w:pStyle w:val="2"/>
              <w:widowControl/>
              <w:spacing w:after="452" w:line="28" w:lineRule="atLeast"/>
              <w:jc w:val="left"/>
              <w:rPr>
                <w:color w:val="333333"/>
              </w:rPr>
            </w:pPr>
          </w:p>
        </w:tc>
        <w:tc>
          <w:tcPr>
            <w:tcW w:w="2989" w:type="dxa"/>
          </w:tcPr>
          <w:p>
            <w:pPr>
              <w:pStyle w:val="2"/>
              <w:widowControl/>
              <w:spacing w:after="452" w:line="28" w:lineRule="atLeast"/>
              <w:jc w:val="left"/>
              <w:rPr>
                <w:color w:val="333333"/>
              </w:rPr>
            </w:pPr>
          </w:p>
        </w:tc>
        <w:tc>
          <w:tcPr>
            <w:tcW w:w="3514" w:type="dxa"/>
          </w:tcPr>
          <w:p>
            <w:pPr>
              <w:pStyle w:val="2"/>
              <w:widowControl/>
              <w:spacing w:after="452" w:line="28" w:lineRule="atLeast"/>
              <w:jc w:val="left"/>
              <w:rPr>
                <w:color w:val="333333"/>
              </w:rPr>
            </w:pPr>
          </w:p>
        </w:tc>
      </w:tr>
    </w:tbl>
    <w:p>
      <w:pPr>
        <w:pStyle w:val="2"/>
        <w:widowControl/>
        <w:spacing w:line="23" w:lineRule="atLeast"/>
        <w:jc w:val="left"/>
        <w:rPr>
          <w:rStyle w:val="4"/>
          <w:rFonts w:hint="eastAsia" w:ascii="宋体" w:hAnsi="宋体" w:cs="宋体"/>
          <w:color w:val="333333"/>
        </w:rPr>
      </w:pPr>
      <w:r>
        <w:rPr>
          <w:rStyle w:val="4"/>
          <w:rFonts w:hint="eastAsia" w:ascii="宋体" w:hAnsi="宋体" w:cs="宋体"/>
          <w:color w:val="333333"/>
        </w:rPr>
        <w:br w:type="page"/>
      </w:r>
    </w:p>
    <w:p>
      <w:pPr>
        <w:pStyle w:val="2"/>
        <w:widowControl/>
        <w:spacing w:line="23" w:lineRule="atLeast"/>
        <w:jc w:val="center"/>
        <w:rPr>
          <w:rStyle w:val="4"/>
          <w:rFonts w:ascii="宋体" w:cs="宋体"/>
          <w:color w:val="333333"/>
        </w:rPr>
      </w:pPr>
      <w:r>
        <w:rPr>
          <w:rStyle w:val="4"/>
          <w:rFonts w:hint="eastAsia" w:ascii="宋体" w:hAnsi="宋体" w:cs="宋体"/>
          <w:color w:val="333333"/>
        </w:rPr>
        <w:t>李清敌教授简介</w:t>
      </w:r>
    </w:p>
    <w:p>
      <w:pPr>
        <w:pStyle w:val="2"/>
        <w:widowControl/>
        <w:spacing w:line="360" w:lineRule="auto"/>
        <w:ind w:firstLine="480" w:firstLineChars="200"/>
        <w:jc w:val="left"/>
        <w:rPr>
          <w:rFonts w:ascii="宋体" w:cs="宋体"/>
        </w:rPr>
      </w:pPr>
      <w:r>
        <w:rPr>
          <w:rFonts w:hint="eastAsia" w:ascii="宋体" w:hAnsi="宋体" w:cs="宋体"/>
          <w:color w:val="333333"/>
        </w:rPr>
        <w:t>李清敌教授</w:t>
      </w:r>
      <w:r>
        <w:rPr>
          <w:rFonts w:ascii="宋体" w:hAnsi="宋体" w:cs="宋体"/>
          <w:color w:val="333333"/>
        </w:rPr>
        <w:t>1977</w:t>
      </w:r>
      <w:r>
        <w:rPr>
          <w:rFonts w:hint="eastAsia" w:ascii="宋体" w:hAnsi="宋体" w:cs="宋体"/>
          <w:color w:val="333333"/>
        </w:rPr>
        <w:t>年就读于广西医科大学医疗系，毕业后留校任教，后攻读本校研究生。</w:t>
      </w:r>
      <w:r>
        <w:rPr>
          <w:rFonts w:ascii="宋体" w:hAnsi="宋体" w:cs="宋体"/>
          <w:color w:val="333333"/>
        </w:rPr>
        <w:t>1987</w:t>
      </w:r>
      <w:r>
        <w:rPr>
          <w:rFonts w:hint="eastAsia" w:ascii="宋体" w:hAnsi="宋体" w:cs="宋体"/>
          <w:color w:val="333333"/>
        </w:rPr>
        <w:t>年研究生毕业后分配到广州中山大学医学院附属第一医院皮肤病与性病科任临床医生。</w:t>
      </w:r>
      <w:r>
        <w:rPr>
          <w:rFonts w:ascii="宋体" w:hAnsi="宋体" w:cs="宋体"/>
          <w:color w:val="333333"/>
        </w:rPr>
        <w:t>1991</w:t>
      </w:r>
      <w:r>
        <w:rPr>
          <w:rFonts w:hint="eastAsia" w:ascii="宋体" w:hAnsi="宋体" w:cs="宋体"/>
          <w:color w:val="333333"/>
        </w:rPr>
        <w:t>年自费赴美国留学，先后获得美国马里兰大学医学院微生物学与免疫学专业硕士学位和药理学专业博士学位。毕业后曾在美国国立卫生研究院国立癌症研究所从事博士后研究。</w:t>
      </w:r>
      <w:r>
        <w:rPr>
          <w:rFonts w:ascii="宋体" w:hAnsi="宋体" w:cs="宋体"/>
          <w:color w:val="333333"/>
        </w:rPr>
        <w:t>2000</w:t>
      </w:r>
      <w:r>
        <w:rPr>
          <w:rFonts w:hint="eastAsia" w:ascii="宋体" w:hAnsi="宋体" w:cs="宋体"/>
          <w:color w:val="333333"/>
        </w:rPr>
        <w:t>年受聘于美国西弗吉尼亚大学医学院和肿瘤中心助理教授兼肿瘤中心主任助理及科研协调员，主要从事抗肿瘤药物耐药性机理与新药的研发以及表观遗传学等方面的研究。</w:t>
      </w:r>
      <w:r>
        <w:rPr>
          <w:rFonts w:ascii="宋体" w:hAnsi="宋体" w:cs="宋体"/>
          <w:color w:val="333333"/>
        </w:rPr>
        <w:t>2006</w:t>
      </w:r>
      <w:r>
        <w:rPr>
          <w:rFonts w:hint="eastAsia" w:ascii="宋体" w:hAnsi="宋体" w:cs="宋体"/>
          <w:color w:val="333333"/>
        </w:rPr>
        <w:t>年后受聘为美国国立</w:t>
      </w:r>
      <w:r>
        <w:rPr>
          <w:rFonts w:hint="eastAsia" w:ascii="宋体" w:hAnsi="宋体" w:cs="宋体"/>
          <w:color w:val="333333"/>
          <w:lang w:eastAsia="zh-CN"/>
        </w:rPr>
        <w:t>卫生研究院</w:t>
      </w:r>
      <w:r>
        <w:rPr>
          <w:rFonts w:hint="eastAsia" w:ascii="宋体" w:hAnsi="宋体" w:cs="宋体"/>
          <w:color w:val="333333"/>
        </w:rPr>
        <w:t>研究员，現为美国联邦政府终生雇员。</w:t>
      </w:r>
      <w:r>
        <w:rPr>
          <w:rFonts w:ascii="宋体" w:cs="宋体"/>
          <w:color w:val="333333"/>
        </w:rPr>
        <w:t> </w:t>
      </w:r>
    </w:p>
    <w:p>
      <w:pPr>
        <w:pStyle w:val="2"/>
        <w:widowControl/>
        <w:spacing w:line="360" w:lineRule="auto"/>
        <w:jc w:val="left"/>
        <w:rPr>
          <w:rFonts w:ascii="宋体" w:cs="宋体"/>
        </w:rPr>
      </w:pPr>
      <w:r>
        <w:rPr>
          <w:rFonts w:hint="eastAsia" w:ascii="宋体" w:hAnsi="宋体" w:cs="宋体"/>
          <w:color w:val="333333"/>
        </w:rPr>
        <w:t>　　李教授曾获得美国国立卫生研究院，大学以及药厂等共</w:t>
      </w:r>
      <w:r>
        <w:rPr>
          <w:rFonts w:ascii="宋体" w:hAnsi="宋体" w:cs="宋体"/>
          <w:color w:val="333333"/>
        </w:rPr>
        <w:t>110</w:t>
      </w:r>
      <w:r>
        <w:rPr>
          <w:rFonts w:hint="eastAsia" w:ascii="宋体" w:hAnsi="宋体" w:cs="宋体"/>
          <w:color w:val="333333"/>
        </w:rPr>
        <w:t>多万美元的研究经费。已在学术期刊上发表论文</w:t>
      </w:r>
      <w:r>
        <w:rPr>
          <w:rFonts w:ascii="宋体" w:hAnsi="宋体" w:cs="宋体"/>
          <w:color w:val="333333"/>
        </w:rPr>
        <w:t>150</w:t>
      </w:r>
      <w:r>
        <w:rPr>
          <w:rFonts w:hint="eastAsia" w:ascii="宋体" w:hAnsi="宋体" w:cs="宋体"/>
          <w:color w:val="333333"/>
        </w:rPr>
        <w:t>多篇，其中在</w:t>
      </w:r>
      <w:r>
        <w:rPr>
          <w:rFonts w:ascii="宋体" w:hAnsi="宋体" w:cs="宋体"/>
          <w:color w:val="333333"/>
        </w:rPr>
        <w:t>Proc Natl Acad Sci USA, J Biol Chem, Cancer Res, Oncogene, Cell Mol Life Sci, Mol Pharmacol, J Cell Mol Med, Biochem Pharmacol, J Neurochem, BMC Mol Biol, Sci Rep</w:t>
      </w:r>
      <w:r>
        <w:rPr>
          <w:rFonts w:hint="eastAsia" w:ascii="宋体" w:hAnsi="宋体" w:cs="宋体"/>
          <w:color w:val="333333"/>
        </w:rPr>
        <w:t>等</w:t>
      </w:r>
      <w:r>
        <w:rPr>
          <w:rFonts w:ascii="宋体" w:hAnsi="宋体" w:cs="宋体"/>
          <w:color w:val="333333"/>
        </w:rPr>
        <w:t>SCI</w:t>
      </w:r>
      <w:r>
        <w:rPr>
          <w:rFonts w:hint="eastAsia" w:ascii="宋体" w:hAnsi="宋体" w:cs="宋体"/>
          <w:color w:val="333333"/>
        </w:rPr>
        <w:t>收录杂志发表论文</w:t>
      </w:r>
      <w:r>
        <w:rPr>
          <w:rFonts w:ascii="宋体" w:hAnsi="宋体" w:cs="宋体"/>
          <w:color w:val="333333"/>
        </w:rPr>
        <w:t>100</w:t>
      </w:r>
      <w:r>
        <w:rPr>
          <w:rFonts w:hint="eastAsia" w:ascii="宋体" w:hAnsi="宋体" w:cs="宋体"/>
          <w:color w:val="333333"/>
        </w:rPr>
        <w:t>多篇。获中国国家发明专利和美国发明专利</w:t>
      </w:r>
      <w:r>
        <w:rPr>
          <w:rFonts w:ascii="宋体" w:hAnsi="宋体" w:cs="宋体"/>
          <w:color w:val="333333"/>
        </w:rPr>
        <w:t>2</w:t>
      </w:r>
      <w:r>
        <w:rPr>
          <w:rFonts w:hint="eastAsia" w:ascii="宋体" w:hAnsi="宋体" w:cs="宋体"/>
          <w:color w:val="333333"/>
        </w:rPr>
        <w:t>项。曾先后</w:t>
      </w:r>
      <w:r>
        <w:rPr>
          <w:rFonts w:ascii="宋体" w:hAnsi="宋体" w:cs="宋体"/>
          <w:color w:val="333333"/>
        </w:rPr>
        <w:t>30</w:t>
      </w:r>
      <w:r>
        <w:rPr>
          <w:rFonts w:hint="eastAsia" w:ascii="宋体" w:hAnsi="宋体" w:cs="宋体"/>
          <w:color w:val="333333"/>
        </w:rPr>
        <w:t>多次被美国国立卫生研究院，美国食品与药物管理局，美国西维州大学，中国科学院成都生物研究所，科威特大学医学中心，华中科技大学</w:t>
      </w:r>
      <w:r>
        <w:rPr>
          <w:rFonts w:ascii="宋体" w:cs="宋体"/>
          <w:color w:val="333333"/>
        </w:rPr>
        <w:t>, </w:t>
      </w:r>
      <w:r>
        <w:rPr>
          <w:rFonts w:hint="eastAsia" w:ascii="宋体" w:hAnsi="宋体" w:cs="宋体"/>
          <w:color w:val="333333"/>
        </w:rPr>
        <w:t>北京中医药大学</w:t>
      </w:r>
      <w:r>
        <w:rPr>
          <w:rFonts w:ascii="宋体" w:cs="宋体"/>
          <w:color w:val="333333"/>
        </w:rPr>
        <w:t>, </w:t>
      </w:r>
      <w:r>
        <w:rPr>
          <w:rFonts w:hint="eastAsia" w:ascii="宋体" w:hAnsi="宋体" w:cs="宋体"/>
          <w:color w:val="333333"/>
        </w:rPr>
        <w:t>以及大连远大制药集团公司等十几所国内外院校和研究所邀请作专题学术报告。</w:t>
      </w:r>
      <w:r>
        <w:rPr>
          <w:rFonts w:ascii="宋体" w:cs="宋体"/>
          <w:color w:val="333333"/>
        </w:rPr>
        <w:t> </w:t>
      </w:r>
    </w:p>
    <w:p>
      <w:pPr>
        <w:pStyle w:val="2"/>
        <w:widowControl/>
        <w:spacing w:line="360" w:lineRule="auto"/>
        <w:jc w:val="left"/>
        <w:rPr>
          <w:rFonts w:ascii="宋体" w:cs="宋体"/>
        </w:rPr>
      </w:pPr>
      <w:r>
        <w:rPr>
          <w:rFonts w:hint="eastAsia" w:ascii="宋体" w:hAnsi="宋体" w:cs="宋体"/>
          <w:color w:val="333333"/>
        </w:rPr>
        <w:t>　　李教授曾被</w:t>
      </w:r>
      <w:r>
        <w:rPr>
          <w:rFonts w:ascii="宋体" w:hAnsi="宋体" w:cs="宋体"/>
          <w:color w:val="333333"/>
        </w:rPr>
        <w:t>60</w:t>
      </w:r>
      <w:r>
        <w:rPr>
          <w:rFonts w:hint="eastAsia" w:ascii="宋体" w:hAnsi="宋体" w:cs="宋体"/>
          <w:color w:val="333333"/>
        </w:rPr>
        <w:t>多个学术专业杂志和科研经费机构邀请为评审专家，现担任近</w:t>
      </w:r>
      <w:r>
        <w:rPr>
          <w:rFonts w:ascii="宋体" w:hAnsi="宋体" w:cs="宋体"/>
          <w:color w:val="333333"/>
        </w:rPr>
        <w:t>30</w:t>
      </w:r>
      <w:r>
        <w:rPr>
          <w:rFonts w:hint="eastAsia" w:ascii="宋体" w:hAnsi="宋体" w:cs="宋体"/>
          <w:color w:val="333333"/>
        </w:rPr>
        <w:t>个学术期刊的编委，并被武汉大学，同济医学院，东南大学，南京医科大学，北海市内分泌代谢病研究所，以及广西医科大学聘请为客座教授或访问教授。</w:t>
      </w:r>
      <w:r>
        <w:rPr>
          <w:rFonts w:ascii="宋体" w:cs="宋体"/>
          <w:color w:val="333333"/>
        </w:rPr>
        <w:t> </w:t>
      </w:r>
    </w:p>
    <w:p>
      <w:pPr>
        <w:spacing w:line="360" w:lineRule="auto"/>
        <w:jc w:val="left"/>
      </w:pPr>
      <w:r>
        <w:rPr>
          <w:rFonts w:hint="eastAsia" w:ascii="宋体" w:hAnsi="宋体" w:cs="宋体"/>
          <w:color w:val="333333"/>
          <w:sz w:val="24"/>
        </w:rPr>
        <w:t>　　李教授现为美国纽约科学院，美国肿瘤研究协会，美国微生物学学会以及美国科学促进会会员。先后获得多项奖励与荣誉，其中包括美国马里兰大学</w:t>
      </w:r>
      <w:r>
        <w:rPr>
          <w:rFonts w:ascii="宋体" w:hAnsi="宋体" w:cs="宋体"/>
          <w:color w:val="333333"/>
          <w:sz w:val="24"/>
        </w:rPr>
        <w:t>Scholarship, </w:t>
      </w:r>
      <w:r>
        <w:rPr>
          <w:rFonts w:hint="eastAsia" w:ascii="宋体" w:hAnsi="宋体" w:cs="宋体"/>
          <w:color w:val="333333"/>
          <w:sz w:val="24"/>
        </w:rPr>
        <w:t>马里兰大学</w:t>
      </w:r>
      <w:r>
        <w:rPr>
          <w:rFonts w:ascii="宋体" w:hAnsi="宋体" w:cs="宋体"/>
          <w:color w:val="333333"/>
          <w:sz w:val="24"/>
        </w:rPr>
        <w:t>Research Fellowship, </w:t>
      </w:r>
      <w:r>
        <w:rPr>
          <w:rFonts w:hint="eastAsia" w:ascii="宋体" w:hAnsi="宋体" w:cs="宋体"/>
          <w:color w:val="333333"/>
          <w:sz w:val="24"/>
        </w:rPr>
        <w:t>美国国立癌症研究所</w:t>
      </w:r>
      <w:r>
        <w:rPr>
          <w:rFonts w:ascii="宋体" w:hAnsi="宋体" w:cs="宋体"/>
          <w:color w:val="333333"/>
          <w:sz w:val="24"/>
        </w:rPr>
        <w:t>Postdoctoral Fellowship, </w:t>
      </w:r>
      <w:r>
        <w:rPr>
          <w:rFonts w:hint="eastAsia" w:ascii="宋体" w:hAnsi="宋体" w:cs="宋体"/>
          <w:color w:val="333333"/>
          <w:sz w:val="24"/>
        </w:rPr>
        <w:t>美国退伍军人医学中心研究奖，美国西弗吉尼亚大学研究发展基金，</w:t>
      </w:r>
      <w:r>
        <w:rPr>
          <w:rFonts w:ascii="宋体" w:hAnsi="宋体" w:cs="宋体"/>
          <w:color w:val="333333"/>
          <w:sz w:val="24"/>
        </w:rPr>
        <w:t>Long Range International USA </w:t>
      </w:r>
      <w:r>
        <w:rPr>
          <w:rFonts w:hint="eastAsia" w:ascii="宋体" w:hAnsi="宋体" w:cs="宋体"/>
          <w:color w:val="333333"/>
          <w:sz w:val="24"/>
        </w:rPr>
        <w:t>研究开发基金，美国国立卫生研究院研究培训奖，美国霍华德</w:t>
      </w:r>
      <w:r>
        <w:rPr>
          <w:rFonts w:ascii="宋体" w:cs="宋体"/>
          <w:color w:val="333333"/>
          <w:sz w:val="24"/>
        </w:rPr>
        <w:t>.</w:t>
      </w:r>
      <w:r>
        <w:rPr>
          <w:rFonts w:hint="eastAsia" w:ascii="宋体" w:hAnsi="宋体" w:cs="宋体"/>
          <w:color w:val="333333"/>
          <w:sz w:val="24"/>
        </w:rPr>
        <w:t>休斯医学研究所教学奖，美国国立卫生研究院研究奖等，并被美国医疗与卫生名人录，美国科学与工程名人录，美国名人录以及世界名人录收录。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E56BF"/>
    <w:rsid w:val="103E096C"/>
    <w:rsid w:val="2F2E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jc w:val="left"/>
    </w:pPr>
    <w:rPr>
      <w:kern w:val="0"/>
      <w:sz w:val="24"/>
    </w:rPr>
  </w:style>
  <w:style w:type="character" w:styleId="4">
    <w:name w:val="Strong"/>
    <w:basedOn w:val="3"/>
    <w:qFormat/>
    <w:uiPriority w:val="0"/>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2018-03-20T03:38:00Z</dcterms:created>
  <dc:creator>杨花纷飞</dc:creator>
  <cp:lastModifiedBy>杨花纷飞</cp:lastModifiedBy>
  <dcterms:modified xsi:type="dcterms:W3CDTF">2018-03-20T03:40:35Z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