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jc w:val="center"/>
        <w:rPr>
          <w:rFonts w:hint="eastAsia" w:ascii="宋体" w:hAnsi="宋体" w:eastAsia="宋体" w:cs="宋体"/>
          <w:b/>
          <w:sz w:val="44"/>
          <w:szCs w:val="44"/>
        </w:rPr>
      </w:pPr>
      <w:r>
        <w:rPr>
          <w:rFonts w:hint="eastAsia" w:ascii="宋体" w:hAnsi="宋体" w:cs="宋体"/>
          <w:b/>
          <w:kern w:val="0"/>
          <w:sz w:val="44"/>
          <w:szCs w:val="44"/>
          <w:lang w:eastAsia="zh-CN"/>
        </w:rPr>
        <w:t>清真</w:t>
      </w:r>
      <w:r>
        <w:rPr>
          <w:rFonts w:hint="eastAsia" w:ascii="宋体" w:hAnsi="宋体" w:eastAsia="宋体" w:cs="宋体"/>
          <w:b/>
          <w:kern w:val="0"/>
          <w:sz w:val="44"/>
          <w:szCs w:val="44"/>
          <w:lang w:eastAsia="zh-CN"/>
        </w:rPr>
        <w:t>食堂档口招标</w:t>
      </w:r>
      <w:r>
        <w:rPr>
          <w:rFonts w:hint="eastAsia" w:ascii="宋体" w:hAnsi="宋体" w:eastAsia="宋体" w:cs="宋体"/>
          <w:b/>
          <w:sz w:val="44"/>
          <w:szCs w:val="44"/>
        </w:rPr>
        <w:t>评</w:t>
      </w:r>
      <w:r>
        <w:rPr>
          <w:rFonts w:hint="eastAsia" w:ascii="宋体" w:hAnsi="宋体" w:eastAsia="宋体" w:cs="宋体"/>
          <w:b/>
          <w:sz w:val="44"/>
          <w:szCs w:val="44"/>
          <w:lang w:eastAsia="zh-CN"/>
        </w:rPr>
        <w:t>分</w:t>
      </w:r>
      <w:r>
        <w:rPr>
          <w:rFonts w:hint="eastAsia" w:ascii="宋体" w:hAnsi="宋体" w:eastAsia="宋体" w:cs="宋体"/>
          <w:b/>
          <w:sz w:val="44"/>
          <w:szCs w:val="44"/>
        </w:rPr>
        <w:t>办法</w:t>
      </w:r>
    </w:p>
    <w:p>
      <w:pPr>
        <w:spacing w:line="440" w:lineRule="exact"/>
        <w:jc w:val="left"/>
        <w:rPr>
          <w:rFonts w:ascii="黑体" w:eastAsia="黑体"/>
          <w:b/>
          <w:sz w:val="32"/>
          <w:szCs w:val="32"/>
        </w:rPr>
      </w:pPr>
    </w:p>
    <w:p>
      <w:pPr>
        <w:pStyle w:val="5"/>
        <w:numPr>
          <w:ilvl w:val="0"/>
          <w:numId w:val="1"/>
        </w:numPr>
        <w:shd w:val="clear" w:color="auto" w:fill="FFFFFF"/>
        <w:tabs>
          <w:tab w:val="left" w:pos="993"/>
        </w:tabs>
        <w:spacing w:line="440" w:lineRule="exact"/>
        <w:ind w:left="0" w:firstLine="480" w:firstLineChars="0"/>
        <w:rPr>
          <w:rFonts w:hint="eastAsia" w:ascii="仿宋" w:hAnsi="仿宋" w:eastAsia="仿宋" w:cs="仿宋"/>
          <w:sz w:val="32"/>
          <w:szCs w:val="32"/>
        </w:rPr>
      </w:pPr>
      <w:r>
        <w:rPr>
          <w:rFonts w:hint="eastAsia" w:ascii="仿宋" w:hAnsi="仿宋" w:eastAsia="仿宋" w:cs="仿宋"/>
          <w:b/>
          <w:bCs/>
          <w:sz w:val="32"/>
          <w:szCs w:val="32"/>
        </w:rPr>
        <w:t>评标原则</w:t>
      </w:r>
      <w:r>
        <w:rPr>
          <w:rFonts w:hint="eastAsia" w:ascii="仿宋" w:hAnsi="仿宋" w:eastAsia="仿宋" w:cs="仿宋"/>
          <w:sz w:val="32"/>
          <w:szCs w:val="32"/>
        </w:rPr>
        <w:t>：公平、公正、公开。</w:t>
      </w:r>
    </w:p>
    <w:p>
      <w:pPr>
        <w:pStyle w:val="5"/>
        <w:numPr>
          <w:ilvl w:val="0"/>
          <w:numId w:val="1"/>
        </w:numPr>
        <w:shd w:val="clear" w:color="auto" w:fill="FFFFFF"/>
        <w:tabs>
          <w:tab w:val="left" w:pos="993"/>
        </w:tabs>
        <w:spacing w:line="440" w:lineRule="exact"/>
        <w:ind w:left="0" w:firstLine="480" w:firstLineChars="0"/>
        <w:rPr>
          <w:rFonts w:hint="eastAsia" w:ascii="仿宋" w:hAnsi="仿宋" w:eastAsia="仿宋" w:cs="仿宋"/>
          <w:color w:val="auto"/>
          <w:sz w:val="32"/>
          <w:szCs w:val="32"/>
        </w:rPr>
      </w:pPr>
      <w:r>
        <w:rPr>
          <w:rFonts w:hint="eastAsia" w:ascii="仿宋" w:hAnsi="仿宋" w:eastAsia="仿宋" w:cs="仿宋"/>
          <w:b/>
          <w:bCs w:val="0"/>
          <w:sz w:val="32"/>
          <w:szCs w:val="32"/>
        </w:rPr>
        <w:t>评标依据</w:t>
      </w:r>
      <w:r>
        <w:rPr>
          <w:rFonts w:hint="eastAsia" w:ascii="仿宋" w:hAnsi="仿宋" w:eastAsia="仿宋" w:cs="仿宋"/>
          <w:bCs/>
          <w:sz w:val="32"/>
          <w:szCs w:val="32"/>
        </w:rPr>
        <w:t>：评委将以投递文件为评标依据，对投标人的</w:t>
      </w:r>
      <w:r>
        <w:rPr>
          <w:rFonts w:hint="eastAsia" w:ascii="仿宋" w:hAnsi="仿宋" w:eastAsia="仿宋" w:cs="仿宋"/>
          <w:bCs/>
          <w:color w:val="auto"/>
          <w:sz w:val="32"/>
          <w:szCs w:val="32"/>
        </w:rPr>
        <w:t>经营项目（内容）、服务</w:t>
      </w:r>
      <w:r>
        <w:rPr>
          <w:rFonts w:hint="eastAsia" w:ascii="仿宋" w:hAnsi="仿宋" w:eastAsia="仿宋" w:cs="仿宋"/>
          <w:bCs/>
          <w:sz w:val="32"/>
          <w:szCs w:val="32"/>
        </w:rPr>
        <w:t>经验、食品卫生安全管理、各项制度的制定、食品卫生安全预案四方面内容按百分制打分。</w:t>
      </w:r>
      <w:r>
        <w:rPr>
          <w:rFonts w:hint="eastAsia" w:ascii="仿宋" w:hAnsi="仿宋" w:eastAsia="仿宋" w:cs="仿宋"/>
          <w:bCs/>
          <w:sz w:val="32"/>
          <w:szCs w:val="32"/>
          <w:lang w:val="en-US" w:eastAsia="zh-CN"/>
        </w:rPr>
        <w:t xml:space="preserve">   </w:t>
      </w:r>
    </w:p>
    <w:p>
      <w:pPr>
        <w:pStyle w:val="5"/>
        <w:numPr>
          <w:ilvl w:val="0"/>
          <w:numId w:val="1"/>
        </w:numPr>
        <w:shd w:val="clear" w:color="auto" w:fill="FFFFFF"/>
        <w:tabs>
          <w:tab w:val="left" w:pos="993"/>
        </w:tabs>
        <w:spacing w:line="440" w:lineRule="exact"/>
        <w:ind w:left="0" w:firstLine="480" w:firstLineChars="0"/>
        <w:rPr>
          <w:rFonts w:hint="eastAsia" w:ascii="仿宋" w:hAnsi="仿宋" w:eastAsia="仿宋" w:cs="仿宋"/>
          <w:color w:val="auto"/>
          <w:sz w:val="32"/>
          <w:szCs w:val="32"/>
        </w:rPr>
      </w:pPr>
      <w:r>
        <w:rPr>
          <w:rFonts w:hint="eastAsia" w:ascii="仿宋" w:hAnsi="仿宋" w:eastAsia="仿宋" w:cs="仿宋"/>
          <w:b/>
          <w:color w:val="auto"/>
          <w:sz w:val="32"/>
          <w:szCs w:val="32"/>
        </w:rPr>
        <w:t>评</w:t>
      </w:r>
      <w:r>
        <w:rPr>
          <w:rFonts w:hint="eastAsia" w:ascii="仿宋" w:hAnsi="仿宋" w:eastAsia="仿宋" w:cs="仿宋"/>
          <w:b/>
          <w:color w:val="auto"/>
          <w:sz w:val="32"/>
          <w:szCs w:val="32"/>
          <w:lang w:eastAsia="zh-CN"/>
        </w:rPr>
        <w:t>分</w:t>
      </w:r>
      <w:r>
        <w:rPr>
          <w:rFonts w:hint="eastAsia" w:ascii="仿宋" w:hAnsi="仿宋" w:eastAsia="仿宋" w:cs="仿宋"/>
          <w:b/>
          <w:color w:val="auto"/>
          <w:sz w:val="32"/>
          <w:szCs w:val="32"/>
        </w:rPr>
        <w:t>方法</w:t>
      </w:r>
    </w:p>
    <w:p>
      <w:pPr>
        <w:pStyle w:val="2"/>
        <w:numPr>
          <w:ilvl w:val="0"/>
          <w:numId w:val="2"/>
        </w:numPr>
        <w:spacing w:line="440" w:lineRule="exact"/>
        <w:ind w:left="480" w:leftChars="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品牌门面分（30分）</w:t>
      </w:r>
    </w:p>
    <w:p>
      <w:pPr>
        <w:pStyle w:val="2"/>
        <w:numPr>
          <w:ilvl w:val="0"/>
          <w:numId w:val="0"/>
        </w:numPr>
        <w:spacing w:line="440" w:lineRule="exact"/>
        <w:ind w:left="420" w:leftChars="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根据加盟连锁品牌的知名程度、店面装修风格进行评分。</w:t>
      </w:r>
    </w:p>
    <w:p>
      <w:pPr>
        <w:pStyle w:val="2"/>
        <w:numPr>
          <w:ilvl w:val="0"/>
          <w:numId w:val="0"/>
        </w:numPr>
        <w:spacing w:line="44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无（0-7分）：品牌无知名度，店面装修风格差，无时尚感。</w:t>
      </w:r>
    </w:p>
    <w:p>
      <w:pPr>
        <w:pStyle w:val="2"/>
        <w:numPr>
          <w:ilvl w:val="0"/>
          <w:numId w:val="0"/>
        </w:numPr>
        <w:spacing w:line="44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 xml:space="preserve">一档（8-15分）：品牌知名度低，店面装修风格一般，时尚感弱。 </w:t>
      </w:r>
    </w:p>
    <w:p>
      <w:pPr>
        <w:pStyle w:val="2"/>
        <w:numPr>
          <w:ilvl w:val="0"/>
          <w:numId w:val="0"/>
        </w:numPr>
        <w:spacing w:line="44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 xml:space="preserve">二档（16-22分）：品牌知名程度中等，店面装修风格较高档，时尚感符合年轻人审美。  </w:t>
      </w:r>
    </w:p>
    <w:p>
      <w:pPr>
        <w:pStyle w:val="2"/>
        <w:numPr>
          <w:ilvl w:val="0"/>
          <w:numId w:val="0"/>
        </w:numPr>
        <w:spacing w:line="44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三档（23-30分）：品牌知名程度高，装修豪华，时尚感强。</w:t>
      </w:r>
    </w:p>
    <w:p>
      <w:pPr>
        <w:pStyle w:val="2"/>
        <w:spacing w:line="440" w:lineRule="exact"/>
        <w:ind w:firstLine="630" w:firstLineChars="196"/>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2、经营方案分（30分）</w:t>
      </w:r>
    </w:p>
    <w:p>
      <w:pPr>
        <w:pStyle w:val="2"/>
        <w:spacing w:line="44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由评委根据投标人提供的方案，从品种花样、价格等方面做综合评定。  </w:t>
      </w:r>
    </w:p>
    <w:p>
      <w:pPr>
        <w:pStyle w:val="2"/>
        <w:spacing w:line="44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一档（0-7分）：评委根据方案综合评定为一般的；  </w:t>
      </w:r>
    </w:p>
    <w:p>
      <w:pPr>
        <w:pStyle w:val="2"/>
        <w:spacing w:line="44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二档（8-15分）：评委根据</w:t>
      </w:r>
      <w:bookmarkStart w:id="0" w:name="_GoBack"/>
      <w:bookmarkEnd w:id="0"/>
      <w:r>
        <w:rPr>
          <w:rFonts w:hint="eastAsia" w:ascii="仿宋" w:hAnsi="仿宋" w:eastAsia="仿宋" w:cs="仿宋"/>
          <w:bCs/>
          <w:sz w:val="32"/>
          <w:szCs w:val="32"/>
          <w:lang w:val="en-US" w:eastAsia="zh-CN"/>
        </w:rPr>
        <w:t xml:space="preserve">方案综合评定为较好的；  </w:t>
      </w:r>
    </w:p>
    <w:p>
      <w:pPr>
        <w:pStyle w:val="2"/>
        <w:spacing w:line="44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三档（16-22分）：评委根据方案综合评定为良好的；</w:t>
      </w:r>
    </w:p>
    <w:p>
      <w:pPr>
        <w:pStyle w:val="2"/>
        <w:spacing w:line="44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四档（23-30分）：评委根据方案综合评定为优秀的；</w:t>
      </w:r>
    </w:p>
    <w:p>
      <w:pPr>
        <w:pStyle w:val="2"/>
        <w:numPr>
          <w:ilvl w:val="0"/>
          <w:numId w:val="0"/>
        </w:numPr>
        <w:spacing w:line="440" w:lineRule="exact"/>
        <w:ind w:left="480" w:leftChars="0"/>
        <w:rPr>
          <w:rFonts w:hint="eastAsia" w:ascii="仿宋" w:hAnsi="仿宋" w:eastAsia="仿宋" w:cs="仿宋"/>
          <w:b/>
          <w:bCs w:val="0"/>
          <w:sz w:val="32"/>
          <w:szCs w:val="32"/>
          <w:lang w:eastAsia="zh-CN"/>
        </w:rPr>
      </w:pPr>
      <w:r>
        <w:rPr>
          <w:rFonts w:hint="eastAsia" w:ascii="仿宋" w:hAnsi="仿宋" w:eastAsia="仿宋" w:cs="仿宋"/>
          <w:b/>
          <w:bCs w:val="0"/>
          <w:sz w:val="32"/>
          <w:szCs w:val="32"/>
          <w:lang w:val="en-US" w:eastAsia="zh-CN"/>
        </w:rPr>
        <w:t>3、管理方案分</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30分</w:t>
      </w:r>
      <w:r>
        <w:rPr>
          <w:rFonts w:hint="eastAsia" w:ascii="仿宋" w:hAnsi="仿宋" w:eastAsia="仿宋" w:cs="仿宋"/>
          <w:b/>
          <w:bCs w:val="0"/>
          <w:sz w:val="32"/>
          <w:szCs w:val="32"/>
          <w:lang w:eastAsia="zh-CN"/>
        </w:rPr>
        <w:t>）</w:t>
      </w:r>
    </w:p>
    <w:p>
      <w:pPr>
        <w:pStyle w:val="2"/>
        <w:numPr>
          <w:ilvl w:val="0"/>
          <w:numId w:val="0"/>
        </w:numPr>
        <w:spacing w:line="440" w:lineRule="exact"/>
        <w:ind w:left="480" w:leftChars="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根据投标人提供的方案，由评委从管理制度、人员配置、</w:t>
      </w:r>
    </w:p>
    <w:p>
      <w:pPr>
        <w:pStyle w:val="2"/>
        <w:numPr>
          <w:ilvl w:val="0"/>
          <w:numId w:val="0"/>
        </w:numPr>
        <w:spacing w:line="440" w:lineRule="exact"/>
        <w:rPr>
          <w:rFonts w:hint="eastAsia" w:ascii="仿宋" w:hAnsi="仿宋" w:eastAsia="仿宋" w:cs="仿宋"/>
          <w:b/>
          <w:bCs w:val="0"/>
          <w:sz w:val="32"/>
          <w:szCs w:val="32"/>
          <w:lang w:eastAsia="zh-CN"/>
        </w:rPr>
      </w:pPr>
      <w:r>
        <w:rPr>
          <w:rFonts w:hint="eastAsia" w:ascii="仿宋" w:hAnsi="仿宋" w:eastAsia="仿宋" w:cs="仿宋"/>
          <w:bCs/>
          <w:sz w:val="32"/>
          <w:szCs w:val="32"/>
          <w:lang w:val="en-US" w:eastAsia="zh-CN"/>
        </w:rPr>
        <w:t>员工专业能力等方面综合评定。</w:t>
      </w:r>
    </w:p>
    <w:p>
      <w:pPr>
        <w:pStyle w:val="2"/>
        <w:spacing w:line="44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一档（0-7分）：评委根据方案综合评定为一般的；  </w:t>
      </w:r>
    </w:p>
    <w:p>
      <w:pPr>
        <w:pStyle w:val="2"/>
        <w:spacing w:line="44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二档（8-15分）：评委根据方案综合评定为较好的；  </w:t>
      </w:r>
    </w:p>
    <w:p>
      <w:pPr>
        <w:pStyle w:val="2"/>
        <w:spacing w:line="44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三档（16-22分）：评委根据方案综合评定为良好的；</w:t>
      </w:r>
    </w:p>
    <w:p>
      <w:pPr>
        <w:pStyle w:val="2"/>
        <w:spacing w:line="44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四档（23-30分）：评委根据方案综合评定为优秀的；</w:t>
      </w:r>
    </w:p>
    <w:p>
      <w:pPr>
        <w:spacing w:line="360" w:lineRule="auto"/>
        <w:ind w:firstLine="42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4、食品安全卫生应急预案（10分）</w:t>
      </w:r>
    </w:p>
    <w:p>
      <w:pPr>
        <w:spacing w:line="360" w:lineRule="auto"/>
        <w:ind w:firstLine="420"/>
        <w:rPr>
          <w:rFonts w:hint="eastAsia" w:ascii="仿宋" w:hAnsi="仿宋" w:eastAsia="仿宋" w:cs="仿宋"/>
          <w:bCs/>
          <w:kern w:val="0"/>
          <w:sz w:val="32"/>
          <w:szCs w:val="32"/>
        </w:rPr>
      </w:pPr>
      <w:r>
        <w:rPr>
          <w:rFonts w:hint="eastAsia" w:ascii="仿宋" w:hAnsi="仿宋" w:eastAsia="仿宋" w:cs="仿宋"/>
          <w:bCs/>
          <w:kern w:val="0"/>
          <w:sz w:val="32"/>
          <w:szCs w:val="32"/>
        </w:rPr>
        <w:t>根据投标人对问题食材发生紧急事件处理预案内容的具体、全面、可行性，所有投标人横向比较综合评分。</w:t>
      </w:r>
    </w:p>
    <w:p>
      <w:pPr>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优（</w:t>
      </w:r>
      <w:r>
        <w:rPr>
          <w:rFonts w:hint="eastAsia" w:ascii="仿宋" w:hAnsi="仿宋" w:eastAsia="仿宋" w:cs="仿宋"/>
          <w:bCs/>
          <w:kern w:val="0"/>
          <w:sz w:val="32"/>
          <w:szCs w:val="32"/>
          <w:lang w:val="en-US" w:eastAsia="zh-CN"/>
        </w:rPr>
        <w:t>6-10分</w:t>
      </w:r>
      <w:r>
        <w:rPr>
          <w:rFonts w:hint="eastAsia" w:ascii="仿宋" w:hAnsi="仿宋" w:eastAsia="仿宋" w:cs="仿宋"/>
          <w:bCs/>
          <w:kern w:val="0"/>
          <w:sz w:val="32"/>
          <w:szCs w:val="32"/>
        </w:rPr>
        <w:t>）：投标人对问题食材发生紧急事件处理预案内容的具体、全面、可行性高；</w:t>
      </w:r>
    </w:p>
    <w:p>
      <w:pPr>
        <w:pStyle w:val="2"/>
        <w:spacing w:line="440" w:lineRule="exact"/>
        <w:ind w:firstLine="627" w:firstLineChars="196"/>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较好</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3-5</w:t>
      </w:r>
      <w:r>
        <w:rPr>
          <w:rFonts w:hint="eastAsia" w:ascii="仿宋" w:hAnsi="仿宋" w:eastAsia="仿宋" w:cs="仿宋"/>
          <w:bCs/>
          <w:kern w:val="0"/>
          <w:sz w:val="32"/>
          <w:szCs w:val="32"/>
        </w:rPr>
        <w:t>分）：投标人对问题食材发生紧急事件处理预案内容的简单、一般</w:t>
      </w:r>
      <w:r>
        <w:rPr>
          <w:rFonts w:hint="eastAsia" w:ascii="仿宋" w:hAnsi="仿宋" w:eastAsia="仿宋" w:cs="仿宋"/>
          <w:bCs/>
          <w:kern w:val="0"/>
          <w:sz w:val="32"/>
          <w:szCs w:val="32"/>
          <w:lang w:eastAsia="zh-CN"/>
        </w:rPr>
        <w:t>。</w:t>
      </w:r>
    </w:p>
    <w:p>
      <w:pPr>
        <w:pStyle w:val="2"/>
        <w:spacing w:line="440" w:lineRule="exact"/>
        <w:ind w:firstLine="627" w:firstLineChars="196"/>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无：（</w:t>
      </w:r>
      <w:r>
        <w:rPr>
          <w:rFonts w:hint="eastAsia" w:ascii="仿宋" w:hAnsi="仿宋" w:eastAsia="仿宋" w:cs="仿宋"/>
          <w:bCs/>
          <w:kern w:val="0"/>
          <w:sz w:val="32"/>
          <w:szCs w:val="32"/>
          <w:lang w:val="en-US" w:eastAsia="zh-CN"/>
        </w:rPr>
        <w:t>0-3分</w:t>
      </w:r>
      <w:r>
        <w:rPr>
          <w:rFonts w:hint="eastAsia" w:ascii="仿宋" w:hAnsi="仿宋" w:eastAsia="仿宋" w:cs="仿宋"/>
          <w:bCs/>
          <w:kern w:val="0"/>
          <w:sz w:val="32"/>
          <w:szCs w:val="32"/>
          <w:lang w:eastAsia="zh-CN"/>
        </w:rPr>
        <w:t>）：投标人无任何食品卫生安全应急预案。</w:t>
      </w:r>
    </w:p>
    <w:p>
      <w:pPr>
        <w:pStyle w:val="2"/>
        <w:numPr>
          <w:ilvl w:val="0"/>
          <w:numId w:val="0"/>
        </w:numPr>
        <w:spacing w:line="440" w:lineRule="exact"/>
        <w:rPr>
          <w:rFonts w:hint="eastAsia" w:asciiTheme="majorEastAsia" w:hAnsiTheme="majorEastAsia" w:eastAsiaTheme="majorEastAsia"/>
          <w:bCs/>
          <w:lang w:val="en-US" w:eastAsia="zh-CN"/>
        </w:rPr>
      </w:pPr>
      <w:r>
        <w:rPr>
          <w:rFonts w:hint="eastAsia" w:ascii="仿宋" w:hAnsi="仿宋" w:eastAsia="仿宋" w:cs="仿宋"/>
          <w:b/>
          <w:bCs w:val="0"/>
          <w:sz w:val="32"/>
          <w:szCs w:val="32"/>
          <w:lang w:val="en-US" w:eastAsia="zh-CN"/>
        </w:rPr>
        <w:t>四、总得分 =1 + 2 + 3 +4</w:t>
      </w:r>
      <w:r>
        <w:rPr>
          <w:rFonts w:hint="eastAsia" w:ascii="仿宋" w:hAnsi="仿宋" w:eastAsia="仿宋" w:cs="仿宋"/>
          <w:bCs/>
          <w:sz w:val="32"/>
          <w:szCs w:val="32"/>
          <w:lang w:val="en-US" w:eastAsia="zh-CN"/>
        </w:rPr>
        <w:t xml:space="preserve">  备注：按照评标总得分由高到低顺序排列投标人，得分相同的，按投标报价由低到高顺序排列，得分且投标报价相同的，按技术指标优劣顺序排列。排名第一的中标候选人应被确认为中标人，若排名第一的中标候选供应商放弃中标资格或由于不可抗力的原因不能按合同规定履约的，则排名第二的中标候选供应商应被确认为中标人，以此类推。</w:t>
      </w:r>
    </w:p>
    <w:p>
      <w:pPr>
        <w:pStyle w:val="2"/>
        <w:spacing w:line="440" w:lineRule="exact"/>
        <w:ind w:firstLine="627" w:firstLineChars="196"/>
        <w:rPr>
          <w:rFonts w:hint="eastAsia" w:ascii="仿宋" w:hAnsi="仿宋" w:eastAsia="仿宋" w:cs="仿宋"/>
          <w:bCs/>
          <w:kern w:val="0"/>
          <w:sz w:val="32"/>
          <w:szCs w:val="32"/>
          <w:lang w:val="en-US" w:eastAsia="zh-CN"/>
        </w:rPr>
      </w:pPr>
    </w:p>
    <w:p>
      <w:pPr>
        <w:pStyle w:val="2"/>
        <w:numPr>
          <w:ilvl w:val="0"/>
          <w:numId w:val="0"/>
        </w:numPr>
        <w:spacing w:line="440" w:lineRule="exact"/>
        <w:ind w:left="420" w:leftChars="0"/>
        <w:rPr>
          <w:rFonts w:hint="eastAsia" w:asciiTheme="majorEastAsia" w:hAnsiTheme="majorEastAsia" w:eastAsiaTheme="majorEastAsia"/>
          <w:bCs/>
          <w:lang w:val="en-US" w:eastAsia="zh-CN"/>
        </w:rPr>
      </w:pPr>
    </w:p>
    <w:p>
      <w:pPr>
        <w:pStyle w:val="2"/>
        <w:numPr>
          <w:ilvl w:val="0"/>
          <w:numId w:val="0"/>
        </w:numPr>
        <w:spacing w:line="440" w:lineRule="exact"/>
        <w:ind w:left="420" w:leftChars="0"/>
        <w:rPr>
          <w:rFonts w:hint="eastAsia" w:asciiTheme="majorEastAsia" w:hAnsiTheme="majorEastAsia" w:eastAsiaTheme="majorEastAsia"/>
          <w:bCs/>
          <w:lang w:val="en-US" w:eastAsia="zh-CN"/>
        </w:rPr>
      </w:pPr>
    </w:p>
    <w:p>
      <w:pPr>
        <w:pStyle w:val="2"/>
        <w:widowControl w:val="0"/>
        <w:numPr>
          <w:ilvl w:val="0"/>
          <w:numId w:val="0"/>
        </w:numPr>
        <w:spacing w:line="440" w:lineRule="exact"/>
        <w:jc w:val="both"/>
        <w:rPr>
          <w:rFonts w:hint="eastAsia" w:asciiTheme="majorEastAsia" w:hAnsiTheme="majorEastAsia" w:eastAsiaTheme="majorEastAsia"/>
          <w:bCs/>
          <w:lang w:val="en-US" w:eastAsia="zh-CN"/>
        </w:rPr>
      </w:pPr>
    </w:p>
    <w:p>
      <w:pPr>
        <w:pStyle w:val="2"/>
        <w:widowControl w:val="0"/>
        <w:numPr>
          <w:ilvl w:val="0"/>
          <w:numId w:val="0"/>
        </w:numPr>
        <w:spacing w:line="440" w:lineRule="exact"/>
        <w:jc w:val="both"/>
        <w:rPr>
          <w:rFonts w:hint="eastAsia" w:asciiTheme="majorEastAsia" w:hAnsiTheme="majorEastAsia" w:eastAsiaTheme="majorEastAsia"/>
          <w:bCs/>
          <w:lang w:val="en-US" w:eastAsia="zh-CN"/>
        </w:rPr>
      </w:pPr>
    </w:p>
    <w:p>
      <w:pPr>
        <w:pStyle w:val="2"/>
        <w:widowControl w:val="0"/>
        <w:numPr>
          <w:ilvl w:val="0"/>
          <w:numId w:val="0"/>
        </w:numPr>
        <w:spacing w:line="440" w:lineRule="exact"/>
        <w:jc w:val="both"/>
        <w:rPr>
          <w:rFonts w:hint="eastAsia" w:asciiTheme="majorEastAsia" w:hAnsiTheme="majorEastAsia" w:eastAsiaTheme="majorEastAsia"/>
          <w:bCs/>
          <w:lang w:val="en-US" w:eastAsia="zh-CN"/>
        </w:rPr>
      </w:pPr>
    </w:p>
    <w:p>
      <w:pPr>
        <w:pStyle w:val="2"/>
        <w:widowControl w:val="0"/>
        <w:numPr>
          <w:ilvl w:val="0"/>
          <w:numId w:val="0"/>
        </w:numPr>
        <w:spacing w:line="440" w:lineRule="exact"/>
        <w:jc w:val="both"/>
        <w:rPr>
          <w:rFonts w:hint="eastAsia" w:asciiTheme="majorEastAsia" w:hAnsiTheme="majorEastAsia" w:eastAsiaTheme="majorEastAsia"/>
          <w:bCs/>
          <w:lang w:val="en-US" w:eastAsia="zh-CN"/>
        </w:rPr>
      </w:pPr>
    </w:p>
    <w:p>
      <w:pPr>
        <w:pStyle w:val="2"/>
        <w:widowControl w:val="0"/>
        <w:numPr>
          <w:ilvl w:val="0"/>
          <w:numId w:val="0"/>
        </w:numPr>
        <w:spacing w:line="440" w:lineRule="exact"/>
        <w:jc w:val="both"/>
        <w:rPr>
          <w:rFonts w:hint="eastAsia" w:asciiTheme="majorEastAsia" w:hAnsiTheme="majorEastAsia" w:eastAsiaTheme="majorEastAsia"/>
          <w:bCs/>
          <w:lang w:val="en-US" w:eastAsia="zh-CN"/>
        </w:rPr>
      </w:pPr>
    </w:p>
    <w:p>
      <w:pPr>
        <w:pStyle w:val="2"/>
        <w:widowControl w:val="0"/>
        <w:numPr>
          <w:ilvl w:val="0"/>
          <w:numId w:val="0"/>
        </w:numPr>
        <w:spacing w:line="440" w:lineRule="exact"/>
        <w:jc w:val="both"/>
        <w:rPr>
          <w:rFonts w:hint="eastAsia" w:asciiTheme="majorEastAsia" w:hAnsiTheme="majorEastAsia" w:eastAsiaTheme="majorEastAsia"/>
          <w:bCs/>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47D31D"/>
    <w:multiLevelType w:val="singleLevel"/>
    <w:tmpl w:val="F447D31D"/>
    <w:lvl w:ilvl="0" w:tentative="0">
      <w:start w:val="1"/>
      <w:numFmt w:val="decimal"/>
      <w:suff w:val="nothing"/>
      <w:lvlText w:val="%1、"/>
      <w:lvlJc w:val="left"/>
    </w:lvl>
  </w:abstractNum>
  <w:abstractNum w:abstractNumId="1">
    <w:nsid w:val="150C18E5"/>
    <w:multiLevelType w:val="multilevel"/>
    <w:tmpl w:val="150C18E5"/>
    <w:lvl w:ilvl="0" w:tentative="0">
      <w:start w:val="1"/>
      <w:numFmt w:val="japaneseCounting"/>
      <w:lvlText w:val="%1、"/>
      <w:lvlJc w:val="left"/>
      <w:pPr>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572B2"/>
    <w:rsid w:val="0FDA34F5"/>
    <w:rsid w:val="11DF7F4E"/>
    <w:rsid w:val="1C987AD3"/>
    <w:rsid w:val="2A9A3370"/>
    <w:rsid w:val="3F560804"/>
    <w:rsid w:val="4B75014C"/>
    <w:rsid w:val="4B905F4F"/>
    <w:rsid w:val="598E25C8"/>
    <w:rsid w:val="5E5E2BD7"/>
    <w:rsid w:val="6A7706D1"/>
    <w:rsid w:val="79E8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吃饭堆尖尖</cp:lastModifiedBy>
  <cp:lastPrinted>2018-06-08T13:20:00Z</cp:lastPrinted>
  <dcterms:modified xsi:type="dcterms:W3CDTF">2018-12-17T01:10:37Z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