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方正小标宋简体" w:hAnsi="方正小标宋简体" w:eastAsia="方正小标宋简体" w:cs="方正小标宋简体"/>
          <w:color w:val="000000"/>
          <w:sz w:val="28"/>
          <w:szCs w:val="28"/>
          <w:lang w:bidi="ar"/>
        </w:rPr>
      </w:pPr>
      <w:r>
        <w:rPr>
          <w:rFonts w:hint="eastAsia" w:ascii="方正小标宋简体" w:hAnsi="方正小标宋简体" w:eastAsia="方正小标宋简体" w:cs="方正小标宋简体"/>
          <w:color w:val="000000"/>
          <w:sz w:val="28"/>
          <w:szCs w:val="28"/>
          <w:lang w:bidi="ar"/>
        </w:rPr>
        <w:t>附件1</w:t>
      </w:r>
    </w:p>
    <w:p>
      <w:pPr>
        <w:jc w:val="center"/>
        <w:rPr>
          <w:rFonts w:ascii="华文中宋" w:hAnsi="华文中宋" w:eastAsia="华文中宋" w:cs="华文中宋"/>
          <w:b/>
          <w:sz w:val="30"/>
          <w:szCs w:val="30"/>
        </w:rPr>
      </w:pPr>
      <w:r>
        <w:rPr>
          <w:rFonts w:hint="eastAsia" w:ascii="方正小标宋简体" w:hAnsi="方正小标宋简体" w:eastAsia="方正小标宋简体" w:cs="方正小标宋简体"/>
          <w:color w:val="000000"/>
          <w:sz w:val="44"/>
          <w:szCs w:val="44"/>
          <w:lang w:bidi="ar"/>
        </w:rPr>
        <w:t>广西中医药大学课程教学设</w:t>
      </w:r>
      <w:r>
        <w:rPr>
          <w:rFonts w:hint="eastAsia" w:ascii="方正小标宋简体" w:hAnsi="方正小标宋简体" w:eastAsia="方正小标宋简体" w:cs="方正小标宋简体"/>
          <w:sz w:val="44"/>
          <w:szCs w:val="44"/>
          <w:lang w:bidi="ar"/>
        </w:rPr>
        <w:t>计(</w:t>
      </w:r>
      <w:r>
        <w:rPr>
          <w:rFonts w:hint="eastAsia" w:ascii="方正小标宋简体" w:hAnsi="方正小标宋简体" w:eastAsia="方正小标宋简体" w:cs="方正小标宋简体"/>
          <w:color w:val="000000"/>
          <w:sz w:val="44"/>
          <w:szCs w:val="44"/>
          <w:lang w:bidi="ar"/>
        </w:rPr>
        <w:t>202</w:t>
      </w:r>
      <w:r>
        <w:rPr>
          <w:rFonts w:hint="eastAsia" w:ascii="方正小标宋简体" w:hAnsi="方正小标宋简体" w:eastAsia="方正小标宋简体" w:cs="方正小标宋简体"/>
          <w:color w:val="000000"/>
          <w:sz w:val="44"/>
          <w:szCs w:val="44"/>
          <w:lang w:val="en-US" w:eastAsia="zh-CN" w:bidi="ar"/>
        </w:rPr>
        <w:t>2</w:t>
      </w:r>
      <w:r>
        <w:rPr>
          <w:rFonts w:hint="eastAsia" w:ascii="方正小标宋简体" w:hAnsi="方正小标宋简体" w:eastAsia="方正小标宋简体" w:cs="方正小标宋简体"/>
          <w:color w:val="000000"/>
          <w:sz w:val="44"/>
          <w:szCs w:val="44"/>
          <w:lang w:bidi="ar"/>
        </w:rPr>
        <w:t>版)</w:t>
      </w:r>
    </w:p>
    <w:tbl>
      <w:tblPr>
        <w:tblStyle w:val="4"/>
        <w:tblW w:w="9799" w:type="dxa"/>
        <w:tblInd w:w="0" w:type="dxa"/>
        <w:tblLayout w:type="fixed"/>
        <w:tblCellMar>
          <w:top w:w="0" w:type="dxa"/>
          <w:left w:w="108" w:type="dxa"/>
          <w:bottom w:w="0" w:type="dxa"/>
          <w:right w:w="108" w:type="dxa"/>
        </w:tblCellMar>
      </w:tblPr>
      <w:tblGrid>
        <w:gridCol w:w="1303"/>
        <w:gridCol w:w="130"/>
        <w:gridCol w:w="3972"/>
        <w:gridCol w:w="473"/>
        <w:gridCol w:w="1080"/>
        <w:gridCol w:w="975"/>
        <w:gridCol w:w="1035"/>
        <w:gridCol w:w="831"/>
      </w:tblGrid>
      <w:tr>
        <w:tblPrEx>
          <w:tblCellMar>
            <w:top w:w="0" w:type="dxa"/>
            <w:left w:w="108" w:type="dxa"/>
            <w:bottom w:w="0" w:type="dxa"/>
            <w:right w:w="108"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所授课程</w:t>
            </w:r>
          </w:p>
        </w:tc>
        <w:tc>
          <w:tcPr>
            <w:tcW w:w="849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b/>
                <w:color w:val="000000"/>
                <w:sz w:val="24"/>
                <w:szCs w:val="24"/>
                <w:lang w:eastAsia="zh-CN"/>
              </w:rPr>
            </w:pPr>
            <w:r>
              <w:rPr>
                <w:rFonts w:hint="eastAsia" w:ascii="宋体" w:hAnsi="宋体" w:eastAsia="宋体" w:cs="Tahoma"/>
                <w:b/>
                <w:color w:val="000000"/>
                <w:sz w:val="24"/>
                <w:szCs w:val="24"/>
                <w:lang w:eastAsia="zh-CN"/>
              </w:rPr>
              <w:t>《</w:t>
            </w:r>
            <w:r>
              <w:rPr>
                <w:rFonts w:hint="eastAsia" w:ascii="宋体" w:hAnsi="宋体" w:eastAsia="宋体" w:cs="Tahoma"/>
                <w:b/>
                <w:color w:val="000000"/>
                <w:sz w:val="24"/>
                <w:szCs w:val="24"/>
                <w:lang w:val="en-US" w:eastAsia="zh-CN"/>
              </w:rPr>
              <w:t>中医急诊学</w:t>
            </w:r>
            <w:r>
              <w:rPr>
                <w:rFonts w:hint="eastAsia" w:ascii="宋体" w:hAnsi="宋体" w:eastAsia="宋体" w:cs="Tahoma"/>
                <w:b/>
                <w:color w:val="000000"/>
                <w:sz w:val="24"/>
                <w:szCs w:val="24"/>
                <w:lang w:eastAsia="zh-CN"/>
              </w:rPr>
              <w:t>》</w:t>
            </w:r>
          </w:p>
        </w:tc>
      </w:tr>
      <w:tr>
        <w:tblPrEx>
          <w:tblCellMar>
            <w:top w:w="0" w:type="dxa"/>
            <w:left w:w="108" w:type="dxa"/>
            <w:bottom w:w="0" w:type="dxa"/>
            <w:right w:w="108"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课程章节</w:t>
            </w:r>
          </w:p>
        </w:tc>
        <w:tc>
          <w:tcPr>
            <w:tcW w:w="663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第十九章</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授课学时</w:t>
            </w:r>
          </w:p>
        </w:tc>
        <w:tc>
          <w:tcPr>
            <w:tcW w:w="8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2学时</w:t>
            </w:r>
          </w:p>
        </w:tc>
      </w:tr>
      <w:tr>
        <w:tblPrEx>
          <w:tblCellMar>
            <w:top w:w="0" w:type="dxa"/>
            <w:left w:w="108" w:type="dxa"/>
            <w:bottom w:w="0" w:type="dxa"/>
            <w:right w:w="108"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所属院、部</w:t>
            </w:r>
          </w:p>
        </w:tc>
        <w:tc>
          <w:tcPr>
            <w:tcW w:w="56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第一临床医学院</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设计者</w:t>
            </w:r>
          </w:p>
        </w:tc>
        <w:tc>
          <w:tcPr>
            <w:tcW w:w="18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李波霖</w:t>
            </w:r>
          </w:p>
        </w:tc>
      </w:tr>
      <w:tr>
        <w:tblPrEx>
          <w:tblCellMar>
            <w:top w:w="0" w:type="dxa"/>
            <w:left w:w="108" w:type="dxa"/>
            <w:bottom w:w="0" w:type="dxa"/>
            <w:right w:w="108" w:type="dxa"/>
          </w:tblCellMar>
        </w:tblPrEx>
        <w:trPr>
          <w:trHeight w:val="285" w:hRule="atLeast"/>
        </w:trPr>
        <w:tc>
          <w:tcPr>
            <w:tcW w:w="13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授课专业</w:t>
            </w:r>
          </w:p>
        </w:tc>
        <w:tc>
          <w:tcPr>
            <w:tcW w:w="45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default"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中医学</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授课年级</w:t>
            </w:r>
          </w:p>
        </w:tc>
        <w:tc>
          <w:tcPr>
            <w:tcW w:w="284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hint="eastAsia" w:ascii="宋体" w:hAnsi="宋体" w:eastAsia="宋体" w:cs="Tahoma"/>
                <w:b/>
                <w:color w:val="000000"/>
                <w:sz w:val="24"/>
                <w:szCs w:val="24"/>
                <w:lang w:val="en-US" w:eastAsia="zh-CN"/>
              </w:rPr>
            </w:pPr>
            <w:r>
              <w:rPr>
                <w:rFonts w:hint="eastAsia" w:ascii="宋体" w:hAnsi="宋体" w:eastAsia="宋体" w:cs="Tahoma"/>
                <w:b/>
                <w:color w:val="000000"/>
                <w:sz w:val="24"/>
                <w:szCs w:val="24"/>
                <w:lang w:val="en-US" w:eastAsia="zh-CN"/>
              </w:rPr>
              <w:t>大学三年级</w:t>
            </w:r>
          </w:p>
        </w:tc>
      </w:tr>
      <w:tr>
        <w:tblPrEx>
          <w:tblCellMar>
            <w:top w:w="0" w:type="dxa"/>
            <w:left w:w="108" w:type="dxa"/>
            <w:bottom w:w="0" w:type="dxa"/>
            <w:right w:w="108" w:type="dxa"/>
          </w:tblCellMar>
        </w:tblPrEx>
        <w:trPr>
          <w:trHeight w:val="285" w:hRule="atLeast"/>
        </w:trPr>
        <w:tc>
          <w:tcPr>
            <w:tcW w:w="9799"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一、导言（引起学习动机，导入主题）</w:t>
            </w:r>
          </w:p>
        </w:tc>
      </w:tr>
      <w:tr>
        <w:tblPrEx>
          <w:tblCellMar>
            <w:top w:w="0" w:type="dxa"/>
            <w:left w:w="108" w:type="dxa"/>
            <w:bottom w:w="0" w:type="dxa"/>
            <w:right w:w="108" w:type="dxa"/>
          </w:tblCellMar>
        </w:tblPrEx>
        <w:trPr>
          <w:trHeight w:val="312" w:hRule="atLeast"/>
        </w:trPr>
        <w:tc>
          <w:tcPr>
            <w:tcW w:w="9799" w:type="dxa"/>
            <w:gridSpan w:val="8"/>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本章节课程主要讲述了中暑的学习目标、疾病诊断、临床表现、急诊处理、分证论治、预后转归等内容；要求学生具备中暑的临床诊疗能力。</w:t>
            </w:r>
          </w:p>
          <w:p>
            <w:pPr>
              <w:ind w:firstLine="480" w:firstLineChars="200"/>
              <w:rPr>
                <w:rFonts w:ascii="宋体" w:hAnsi="宋体" w:eastAsia="宋体" w:cs="Tahoma"/>
                <w:color w:val="000000"/>
                <w:sz w:val="24"/>
                <w:szCs w:val="24"/>
              </w:rPr>
            </w:pPr>
            <w:r>
              <w:rPr>
                <w:rFonts w:hint="eastAsia" w:ascii="宋体" w:hAnsi="宋体" w:eastAsia="宋体" w:cs="宋体"/>
                <w:color w:val="000000"/>
                <w:sz w:val="24"/>
              </w:rPr>
              <w:t>本课程主要以病例式教学切入，扩散学生的思维方式，让学生积极参与，调动学生的积极性。</w:t>
            </w:r>
          </w:p>
        </w:tc>
      </w:tr>
      <w:tr>
        <w:tblPrEx>
          <w:tblCellMar>
            <w:top w:w="0" w:type="dxa"/>
            <w:left w:w="108" w:type="dxa"/>
            <w:bottom w:w="0" w:type="dxa"/>
            <w:right w:w="108" w:type="dxa"/>
          </w:tblCellMar>
        </w:tblPrEx>
        <w:trPr>
          <w:trHeight w:val="312" w:hRule="atLeast"/>
        </w:trPr>
        <w:tc>
          <w:tcPr>
            <w:tcW w:w="9799"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312" w:hRule="atLeast"/>
        </w:trPr>
        <w:tc>
          <w:tcPr>
            <w:tcW w:w="9799"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285" w:hRule="atLeast"/>
        </w:trPr>
        <w:tc>
          <w:tcPr>
            <w:tcW w:w="9799"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ascii="宋体" w:hAnsi="宋体" w:eastAsia="宋体" w:cs="宋体"/>
                <w:b/>
                <w:color w:val="000000"/>
                <w:sz w:val="24"/>
                <w:szCs w:val="18"/>
                <w:lang w:bidi="ar"/>
              </w:rPr>
              <w:t xml:space="preserve">二、学习目标  </w:t>
            </w:r>
            <w:r>
              <w:rPr>
                <w:rFonts w:hint="eastAsia" w:ascii="宋体" w:hAnsi="宋体" w:eastAsia="Tahoma" w:cs="宋体"/>
                <w:b/>
                <w:color w:val="000000"/>
                <w:sz w:val="24"/>
                <w:szCs w:val="18"/>
                <w:lang w:bidi="ar"/>
              </w:rPr>
              <w:t>[</w:t>
            </w:r>
            <w:r>
              <w:rPr>
                <w:rFonts w:ascii="宋体" w:hAnsi="宋体" w:eastAsia="宋体" w:cs="宋体"/>
                <w:b/>
                <w:color w:val="000000"/>
                <w:sz w:val="24"/>
                <w:szCs w:val="18"/>
                <w:lang w:bidi="ar"/>
              </w:rPr>
              <w:t xml:space="preserve">知识、技能（能力）、学习态度与价值观（课程思政育人目标） </w:t>
            </w:r>
            <w:r>
              <w:rPr>
                <w:rFonts w:hint="eastAsia" w:ascii="宋体" w:hAnsi="宋体" w:eastAsia="Tahoma" w:cs="宋体"/>
                <w:b/>
                <w:color w:val="000000"/>
                <w:sz w:val="24"/>
                <w:szCs w:val="18"/>
                <w:lang w:bidi="ar"/>
              </w:rPr>
              <w:t>]</w:t>
            </w: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1</w:t>
            </w:r>
            <w:r>
              <w:rPr>
                <w:rFonts w:ascii="宋体" w:hAnsi="宋体" w:eastAsia="宋体" w:cs="宋体"/>
                <w:color w:val="000000"/>
                <w:sz w:val="24"/>
                <w:szCs w:val="18"/>
                <w:lang w:bidi="ar"/>
              </w:rPr>
              <w:t>、教学目标：</w:t>
            </w: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知识目标：</w:t>
            </w:r>
            <w:r>
              <w:rPr>
                <w:rFonts w:hint="eastAsia" w:ascii="宋体" w:hAnsi="宋体" w:eastAsia="宋体" w:cs="宋体"/>
                <w:color w:val="000000"/>
                <w:kern w:val="0"/>
                <w:sz w:val="24"/>
                <w:szCs w:val="24"/>
                <w:lang w:val="en-US" w:eastAsia="zh-CN" w:bidi="ar"/>
              </w:rPr>
              <w:t>能像同学说出</w:t>
            </w:r>
            <w:r>
              <w:rPr>
                <w:rFonts w:hint="eastAsia" w:ascii="宋体" w:hAnsi="宋体" w:eastAsia="宋体" w:cs="宋体"/>
                <w:bCs/>
                <w:sz w:val="24"/>
              </w:rPr>
              <w:t>中暑的诊断、中暑的急救处理</w:t>
            </w:r>
            <w:r>
              <w:rPr>
                <w:rFonts w:hint="eastAsia" w:ascii="宋体" w:hAnsi="宋体" w:eastAsia="宋体" w:cs="宋体"/>
                <w:bCs/>
                <w:sz w:val="24"/>
                <w:lang w:eastAsia="zh-CN"/>
              </w:rPr>
              <w:t>；</w:t>
            </w:r>
            <w:r>
              <w:rPr>
                <w:rFonts w:hint="eastAsia" w:ascii="宋体" w:hAnsi="宋体" w:eastAsia="宋体" w:cs="宋体"/>
                <w:bCs/>
                <w:sz w:val="24"/>
                <w:lang w:val="en-US" w:eastAsia="zh-CN"/>
              </w:rPr>
              <w:t>能在实践中对</w:t>
            </w:r>
            <w:r>
              <w:rPr>
                <w:rFonts w:hint="eastAsia" w:ascii="宋体" w:hAnsi="宋体" w:eastAsia="宋体" w:cs="宋体"/>
                <w:bCs/>
                <w:sz w:val="24"/>
              </w:rPr>
              <w:t>中暑</w:t>
            </w:r>
            <w:r>
              <w:rPr>
                <w:rFonts w:hint="eastAsia" w:ascii="宋体" w:hAnsi="宋体" w:eastAsia="宋体" w:cs="宋体"/>
                <w:bCs/>
                <w:sz w:val="24"/>
                <w:lang w:val="en-US" w:eastAsia="zh-CN"/>
              </w:rPr>
              <w:t>进行</w:t>
            </w:r>
            <w:r>
              <w:rPr>
                <w:rFonts w:hint="eastAsia" w:ascii="宋体" w:hAnsi="宋体" w:eastAsia="宋体" w:cs="宋体"/>
                <w:bCs/>
                <w:sz w:val="24"/>
              </w:rPr>
              <w:t>分型论治</w:t>
            </w:r>
            <w:r>
              <w:rPr>
                <w:rFonts w:hint="eastAsia" w:ascii="宋体" w:hAnsi="宋体" w:eastAsia="宋体" w:cs="宋体"/>
                <w:bCs/>
                <w:sz w:val="24"/>
                <w:lang w:val="en-US" w:eastAsia="zh-CN"/>
              </w:rPr>
              <w:t>并突出其</w:t>
            </w:r>
            <w:r>
              <w:rPr>
                <w:rFonts w:hint="eastAsia" w:ascii="宋体" w:hAnsi="宋体" w:eastAsia="宋体" w:cs="宋体"/>
                <w:bCs/>
                <w:sz w:val="24"/>
              </w:rPr>
              <w:t>中医特色治疗</w:t>
            </w: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技能目标：</w:t>
            </w:r>
            <w:r>
              <w:rPr>
                <w:rFonts w:hint="eastAsia" w:ascii="宋体" w:hAnsi="宋体" w:eastAsia="宋体" w:cs="宋体"/>
                <w:color w:val="000000"/>
                <w:kern w:val="0"/>
                <w:sz w:val="24"/>
                <w:lang w:bidi="ar"/>
              </w:rPr>
              <w:t>通过案例分析，让学生</w:t>
            </w:r>
            <w:r>
              <w:rPr>
                <w:rFonts w:hint="eastAsia" w:ascii="宋体" w:hAnsi="宋体" w:eastAsia="宋体" w:cs="宋体"/>
                <w:color w:val="000000"/>
                <w:kern w:val="0"/>
                <w:sz w:val="24"/>
                <w:lang w:val="en-US" w:eastAsia="zh-CN" w:bidi="ar"/>
              </w:rPr>
              <w:t>在模拟操作过程中做到</w:t>
            </w:r>
            <w:r>
              <w:rPr>
                <w:rFonts w:hint="eastAsia" w:ascii="宋体" w:hAnsi="宋体" w:eastAsia="宋体" w:cs="宋体"/>
                <w:color w:val="000000"/>
                <w:kern w:val="0"/>
                <w:sz w:val="24"/>
                <w:lang w:bidi="ar"/>
              </w:rPr>
              <w:t>中暑的急诊处理技能，包括气管插管、心肺脑复苏、</w:t>
            </w:r>
            <w:r>
              <w:rPr>
                <w:rFonts w:hint="eastAsia" w:ascii="宋体" w:hAnsi="宋体" w:eastAsia="宋体" w:cs="宋体"/>
                <w:color w:val="000000"/>
                <w:kern w:val="0"/>
                <w:sz w:val="24"/>
                <w:lang w:val="en-US" w:eastAsia="zh-CN" w:bidi="ar"/>
              </w:rPr>
              <w:t>并说出</w:t>
            </w:r>
            <w:r>
              <w:rPr>
                <w:rFonts w:hint="eastAsia" w:ascii="宋体" w:hAnsi="宋体" w:eastAsia="宋体" w:cs="宋体"/>
                <w:color w:val="000000"/>
                <w:kern w:val="0"/>
                <w:sz w:val="24"/>
                <w:lang w:bidi="ar"/>
              </w:rPr>
              <w:t>补液原则等</w:t>
            </w: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学习态度与价值观（与课程思政育人目标相应）：</w:t>
            </w:r>
          </w:p>
          <w:p>
            <w:pPr>
              <w:widowControl/>
              <w:textAlignment w:val="bottom"/>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lang w:bidi="ar"/>
              </w:rPr>
              <w:t>通过本章节的学习，让学生掌握中暑患者的紧急处理、快速评估、治疗原则等。通过动手实践，激发同学们的学习兴趣，使其积极主动地参与教学过程，深刻领会到该专业的重要性。并能培养学生积极、主动、端正的学习态度。让学生学会充分利用学习资源，培养良好的信息素养，养成善于发现问题、独立解决问题的良好习惯。在以后的临床工作中，正确开展救治工作，避免延误抢救时间。</w:t>
            </w: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2.教学重点和难点</w:t>
            </w: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重点：</w:t>
            </w:r>
            <w:r>
              <w:rPr>
                <w:rFonts w:hint="eastAsia" w:ascii="宋体" w:hAnsi="宋体" w:eastAsia="宋体" w:cs="宋体"/>
                <w:color w:val="000000"/>
                <w:kern w:val="0"/>
                <w:sz w:val="24"/>
                <w:lang w:bidi="ar"/>
              </w:rPr>
              <w:t>中暑患者的急诊处置原则。</w:t>
            </w: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难点：</w:t>
            </w:r>
            <w:r>
              <w:rPr>
                <w:rFonts w:hint="eastAsia" w:ascii="宋体" w:hAnsi="宋体" w:eastAsia="宋体" w:cs="宋体"/>
                <w:color w:val="000000"/>
                <w:kern w:val="0"/>
                <w:sz w:val="24"/>
                <w:lang w:bidi="ar"/>
              </w:rPr>
              <w:t>中暑危急重症的临床操作。</w:t>
            </w:r>
          </w:p>
        </w:tc>
      </w:tr>
      <w:tr>
        <w:tblPrEx>
          <w:tblCellMar>
            <w:top w:w="0" w:type="dxa"/>
            <w:left w:w="108" w:type="dxa"/>
            <w:bottom w:w="0" w:type="dxa"/>
            <w:right w:w="108" w:type="dxa"/>
          </w:tblCellMar>
        </w:tblPrEx>
        <w:trPr>
          <w:trHeight w:val="709" w:hRule="atLeast"/>
        </w:trPr>
        <w:tc>
          <w:tcPr>
            <w:tcW w:w="9799"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三、学情分析与教学预测（可包含学生现有知识结构、兴趣、思维情况、认知状态、心理、个性、学习动机、现阶段学习内容、学习方式、学习时间、学习效果、生活环境等）</w:t>
            </w: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1.学情分析：</w:t>
            </w: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lang w:bidi="ar"/>
              </w:rPr>
              <w:t>此前学生们已经完成中医学基础课程的学习，具备一定的中医学理论基础，即将步入临床，对临床课程的学习兴趣较高，理解能力较强，有利于该课程顺利开展。本章节为中暑内容，在生活中比较常见，学生们有较高的热情学习此内容的急救处理。</w:t>
            </w: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hint="eastAsia" w:ascii="宋体" w:hAnsi="宋体" w:eastAsia="宋体" w:cs="宋体"/>
                <w:color w:val="000000"/>
                <w:sz w:val="24"/>
                <w:szCs w:val="24"/>
              </w:rPr>
            </w:pPr>
            <w:r>
              <w:rPr>
                <w:rFonts w:hint="eastAsia" w:ascii="宋体" w:hAnsi="宋体" w:eastAsia="宋体" w:cs="宋体"/>
                <w:color w:val="000000"/>
                <w:sz w:val="24"/>
                <w:szCs w:val="18"/>
                <w:lang w:bidi="ar"/>
              </w:rPr>
              <w:t>2.教学预测：</w:t>
            </w: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ind w:firstLine="480" w:firstLineChars="200"/>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学生们此前有一定的中医基础及急救知识的基础，能够较好的理解课程内容，再加本章节的内容为生活常见病症，学生的热情较高，临床诊疗思维应该能得到良好的提升。</w:t>
            </w:r>
          </w:p>
          <w:p>
            <w:pPr>
              <w:ind w:firstLine="480" w:firstLineChars="200"/>
              <w:rPr>
                <w:rFonts w:hint="eastAsia" w:ascii="宋体" w:hAnsi="宋体" w:eastAsia="宋体" w:cs="宋体"/>
                <w:color w:val="000000"/>
                <w:kern w:val="0"/>
                <w:sz w:val="24"/>
                <w:lang w:bidi="ar"/>
              </w:rPr>
            </w:pPr>
          </w:p>
        </w:tc>
      </w:tr>
      <w:tr>
        <w:tblPrEx>
          <w:tblCellMar>
            <w:top w:w="0" w:type="dxa"/>
            <w:left w:w="108" w:type="dxa"/>
            <w:bottom w:w="0" w:type="dxa"/>
            <w:right w:w="108" w:type="dxa"/>
          </w:tblCellMar>
        </w:tblPrEx>
        <w:trPr>
          <w:trHeight w:val="285" w:hRule="atLeast"/>
        </w:trPr>
        <w:tc>
          <w:tcPr>
            <w:tcW w:w="9799"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四、教学过程</w:t>
            </w:r>
          </w:p>
        </w:tc>
      </w:tr>
      <w:tr>
        <w:tblPrEx>
          <w:tblCellMar>
            <w:top w:w="0" w:type="dxa"/>
            <w:left w:w="108" w:type="dxa"/>
            <w:bottom w:w="0" w:type="dxa"/>
            <w:right w:w="108" w:type="dxa"/>
          </w:tblCellMar>
        </w:tblPrEx>
        <w:trPr>
          <w:trHeight w:val="285" w:hRule="atLeast"/>
        </w:trPr>
        <w:tc>
          <w:tcPr>
            <w:tcW w:w="9799"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1.</w:t>
            </w:r>
            <w:r>
              <w:rPr>
                <w:rFonts w:ascii="宋体" w:hAnsi="宋体" w:eastAsia="宋体" w:cs="宋体"/>
                <w:color w:val="000000"/>
                <w:sz w:val="24"/>
                <w:szCs w:val="18"/>
                <w:lang w:bidi="ar"/>
              </w:rPr>
              <w:t>参与式学习的教学环节设计（设计促进学习者主动学习、积极参与的教学活动）</w:t>
            </w:r>
          </w:p>
        </w:tc>
      </w:tr>
      <w:tr>
        <w:tblPrEx>
          <w:tblCellMar>
            <w:top w:w="0" w:type="dxa"/>
            <w:left w:w="108" w:type="dxa"/>
            <w:bottom w:w="0" w:type="dxa"/>
            <w:right w:w="108" w:type="dxa"/>
          </w:tblCellMar>
        </w:tblPrEx>
        <w:trPr>
          <w:trHeight w:val="285" w:hRule="atLeast"/>
        </w:trPr>
        <w:tc>
          <w:tcPr>
            <w:tcW w:w="14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时间（分钟）</w:t>
            </w:r>
          </w:p>
        </w:tc>
        <w:tc>
          <w:tcPr>
            <w:tcW w:w="3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授课者的工作</w:t>
            </w:r>
          </w:p>
        </w:tc>
        <w:tc>
          <w:tcPr>
            <w:tcW w:w="439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学习者的工作</w:t>
            </w:r>
          </w:p>
        </w:tc>
      </w:tr>
      <w:tr>
        <w:tblPrEx>
          <w:tblCellMar>
            <w:top w:w="0" w:type="dxa"/>
            <w:left w:w="108" w:type="dxa"/>
            <w:bottom w:w="0" w:type="dxa"/>
            <w:right w:w="108" w:type="dxa"/>
          </w:tblCellMar>
        </w:tblPrEx>
        <w:trPr>
          <w:trHeight w:val="312" w:hRule="atLeast"/>
        </w:trPr>
        <w:tc>
          <w:tcPr>
            <w:tcW w:w="14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spacing w:line="360" w:lineRule="auto"/>
              <w:rPr>
                <w:rFonts w:hint="eastAsia" w:ascii="宋体" w:hAnsi="宋体" w:eastAsia="宋体" w:cs="宋体"/>
                <w:color w:val="000000"/>
                <w:sz w:val="24"/>
              </w:rPr>
            </w:pPr>
            <w:r>
              <w:rPr>
                <w:rFonts w:hint="eastAsia" w:ascii="宋体" w:hAnsi="宋体" w:eastAsia="宋体" w:cs="宋体"/>
                <w:color w:val="000000"/>
                <w:sz w:val="24"/>
              </w:rPr>
              <w:t>5</w:t>
            </w:r>
          </w:p>
          <w:p>
            <w:pPr>
              <w:spacing w:line="360" w:lineRule="auto"/>
              <w:rPr>
                <w:rFonts w:hint="eastAsia" w:ascii="宋体" w:hAnsi="宋体" w:eastAsia="宋体" w:cs="宋体"/>
                <w:color w:val="000000"/>
                <w:sz w:val="24"/>
              </w:rPr>
            </w:pPr>
            <w:r>
              <w:rPr>
                <w:rFonts w:hint="eastAsia" w:ascii="宋体" w:hAnsi="宋体" w:eastAsia="宋体" w:cs="宋体"/>
                <w:color w:val="000000"/>
                <w:sz w:val="24"/>
              </w:rPr>
              <w:t>5</w:t>
            </w:r>
          </w:p>
          <w:p>
            <w:pPr>
              <w:spacing w:line="360" w:lineRule="auto"/>
              <w:rPr>
                <w:rFonts w:hint="eastAsia" w:ascii="宋体" w:hAnsi="宋体" w:eastAsia="宋体" w:cs="宋体"/>
                <w:color w:val="000000"/>
                <w:sz w:val="24"/>
              </w:rPr>
            </w:pPr>
            <w:r>
              <w:rPr>
                <w:rFonts w:hint="eastAsia" w:ascii="宋体" w:hAnsi="宋体" w:eastAsia="宋体" w:cs="宋体"/>
                <w:color w:val="000000"/>
                <w:sz w:val="24"/>
              </w:rPr>
              <w:t>10</w:t>
            </w:r>
          </w:p>
          <w:p>
            <w:pPr>
              <w:spacing w:line="360" w:lineRule="auto"/>
              <w:rPr>
                <w:rFonts w:hint="eastAsia" w:ascii="宋体" w:hAnsi="宋体" w:eastAsia="宋体" w:cs="宋体"/>
                <w:color w:val="000000"/>
                <w:sz w:val="24"/>
              </w:rPr>
            </w:pPr>
            <w:r>
              <w:rPr>
                <w:rFonts w:hint="eastAsia" w:ascii="宋体" w:hAnsi="宋体" w:eastAsia="宋体" w:cs="宋体"/>
                <w:color w:val="000000"/>
                <w:sz w:val="24"/>
              </w:rPr>
              <w:t>20</w:t>
            </w:r>
          </w:p>
          <w:p>
            <w:pPr>
              <w:spacing w:line="360" w:lineRule="auto"/>
              <w:rPr>
                <w:rFonts w:hint="eastAsia" w:ascii="宋体" w:hAnsi="宋体" w:eastAsia="宋体" w:cs="宋体"/>
                <w:color w:val="000000"/>
                <w:sz w:val="24"/>
              </w:rPr>
            </w:pPr>
            <w:r>
              <w:rPr>
                <w:rFonts w:hint="eastAsia" w:ascii="宋体" w:hAnsi="宋体" w:eastAsia="宋体" w:cs="宋体"/>
                <w:color w:val="000000"/>
                <w:sz w:val="24"/>
              </w:rPr>
              <w:t>30</w:t>
            </w:r>
          </w:p>
          <w:p>
            <w:pPr>
              <w:rPr>
                <w:rFonts w:hint="eastAsia" w:ascii="宋体" w:hAnsi="宋体" w:eastAsia="宋体" w:cs="宋体"/>
                <w:color w:val="000000"/>
                <w:sz w:val="24"/>
                <w:szCs w:val="24"/>
              </w:rPr>
            </w:pPr>
            <w:r>
              <w:rPr>
                <w:rFonts w:hint="eastAsia" w:ascii="宋体" w:hAnsi="宋体" w:eastAsia="宋体" w:cs="宋体"/>
                <w:color w:val="000000"/>
                <w:sz w:val="24"/>
              </w:rPr>
              <w:t>10</w:t>
            </w:r>
          </w:p>
        </w:tc>
        <w:tc>
          <w:tcPr>
            <w:tcW w:w="397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spacing w:line="360" w:lineRule="auto"/>
              <w:rPr>
                <w:rFonts w:hint="eastAsia" w:ascii="宋体" w:hAnsi="宋体" w:eastAsia="宋体" w:cs="宋体"/>
                <w:color w:val="000000"/>
                <w:sz w:val="24"/>
              </w:rPr>
            </w:pPr>
            <w:r>
              <w:rPr>
                <w:rFonts w:hint="eastAsia" w:ascii="宋体" w:hAnsi="宋体" w:eastAsia="宋体" w:cs="宋体"/>
                <w:color w:val="000000"/>
                <w:sz w:val="24"/>
              </w:rPr>
              <w:t>课堂导入：以典型案例导入本次课程</w:t>
            </w:r>
          </w:p>
          <w:p>
            <w:pPr>
              <w:spacing w:line="360" w:lineRule="auto"/>
              <w:rPr>
                <w:rFonts w:hint="eastAsia" w:ascii="宋体" w:hAnsi="宋体" w:eastAsia="宋体" w:cs="宋体"/>
                <w:color w:val="000000"/>
                <w:sz w:val="24"/>
              </w:rPr>
            </w:pPr>
            <w:r>
              <w:rPr>
                <w:rFonts w:hint="eastAsia" w:ascii="宋体" w:hAnsi="宋体" w:eastAsia="宋体" w:cs="宋体"/>
                <w:color w:val="000000"/>
                <w:sz w:val="24"/>
              </w:rPr>
              <w:t>中暑的定义</w:t>
            </w:r>
          </w:p>
          <w:p>
            <w:pPr>
              <w:spacing w:line="360" w:lineRule="auto"/>
              <w:rPr>
                <w:rFonts w:hint="eastAsia" w:ascii="宋体" w:hAnsi="宋体" w:eastAsia="宋体" w:cs="宋体"/>
                <w:color w:val="000000"/>
                <w:sz w:val="24"/>
              </w:rPr>
            </w:pPr>
            <w:r>
              <w:rPr>
                <w:rFonts w:hint="eastAsia" w:ascii="宋体" w:hAnsi="宋体" w:eastAsia="宋体" w:cs="宋体"/>
                <w:color w:val="000000"/>
                <w:sz w:val="24"/>
              </w:rPr>
              <w:t>中暑的病因病机</w:t>
            </w:r>
          </w:p>
          <w:p>
            <w:pPr>
              <w:spacing w:line="360" w:lineRule="auto"/>
              <w:rPr>
                <w:rFonts w:hint="eastAsia" w:ascii="宋体" w:hAnsi="宋体" w:eastAsia="宋体" w:cs="宋体"/>
                <w:color w:val="000000"/>
                <w:sz w:val="24"/>
              </w:rPr>
            </w:pPr>
            <w:r>
              <w:rPr>
                <w:rFonts w:hint="eastAsia" w:ascii="宋体" w:hAnsi="宋体" w:eastAsia="宋体" w:cs="宋体"/>
                <w:color w:val="000000"/>
                <w:sz w:val="24"/>
              </w:rPr>
              <w:t>中暑的急诊处理</w:t>
            </w:r>
          </w:p>
          <w:p>
            <w:pPr>
              <w:spacing w:line="360" w:lineRule="auto"/>
              <w:rPr>
                <w:rFonts w:hint="eastAsia" w:ascii="宋体" w:hAnsi="宋体" w:eastAsia="宋体" w:cs="宋体"/>
                <w:color w:val="000000"/>
                <w:sz w:val="24"/>
              </w:rPr>
            </w:pPr>
            <w:r>
              <w:rPr>
                <w:rFonts w:hint="eastAsia" w:ascii="宋体" w:hAnsi="宋体" w:eastAsia="宋体" w:cs="宋体"/>
                <w:color w:val="000000"/>
                <w:sz w:val="24"/>
              </w:rPr>
              <w:t>中暑的分证论治</w:t>
            </w:r>
          </w:p>
          <w:p>
            <w:pPr>
              <w:rPr>
                <w:rFonts w:hint="eastAsia" w:ascii="宋体" w:hAnsi="宋体" w:eastAsia="宋体" w:cs="宋体"/>
                <w:color w:val="000000"/>
                <w:sz w:val="24"/>
                <w:szCs w:val="24"/>
              </w:rPr>
            </w:pPr>
            <w:r>
              <w:rPr>
                <w:rFonts w:hint="eastAsia" w:ascii="宋体" w:hAnsi="宋体" w:eastAsia="宋体" w:cs="宋体"/>
                <w:color w:val="000000"/>
                <w:sz w:val="24"/>
              </w:rPr>
              <w:t>中暑的预后转归及总结</w:t>
            </w:r>
          </w:p>
        </w:tc>
        <w:tc>
          <w:tcPr>
            <w:tcW w:w="4394"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spacing w:line="360" w:lineRule="auto"/>
              <w:rPr>
                <w:rFonts w:hint="eastAsia" w:ascii="宋体" w:hAnsi="宋体" w:eastAsia="宋体" w:cs="宋体"/>
                <w:color w:val="000000"/>
                <w:sz w:val="24"/>
              </w:rPr>
            </w:pPr>
            <w:r>
              <w:rPr>
                <w:rFonts w:hint="eastAsia" w:ascii="宋体" w:hAnsi="宋体" w:eastAsia="宋体" w:cs="宋体"/>
                <w:color w:val="000000"/>
                <w:sz w:val="24"/>
              </w:rPr>
              <w:t>提前熟悉课本的相关知识。</w:t>
            </w:r>
          </w:p>
          <w:p>
            <w:pPr>
              <w:rPr>
                <w:rFonts w:hint="eastAsia" w:ascii="宋体" w:hAnsi="宋体" w:eastAsia="宋体" w:cs="宋体"/>
                <w:color w:val="000000"/>
                <w:sz w:val="24"/>
                <w:szCs w:val="24"/>
              </w:rPr>
            </w:pPr>
            <w:r>
              <w:rPr>
                <w:rFonts w:hint="eastAsia" w:ascii="宋体" w:hAnsi="宋体" w:eastAsia="宋体" w:cs="宋体"/>
                <w:color w:val="000000"/>
                <w:sz w:val="24"/>
              </w:rPr>
              <w:t>见面课时学生主要以听课、笔记、理解、讨论为主。在老师授课课堂中，与老师积极互动，回答问题。在病例讨论中，分组进行讨论，总结发言，制定个体化治疗方案。课后完成病例作业，并在网络进行反馈。</w:t>
            </w:r>
          </w:p>
        </w:tc>
      </w:tr>
      <w:tr>
        <w:tblPrEx>
          <w:tblCellMar>
            <w:top w:w="0" w:type="dxa"/>
            <w:left w:w="108" w:type="dxa"/>
            <w:bottom w:w="0" w:type="dxa"/>
            <w:right w:w="108" w:type="dxa"/>
          </w:tblCellMar>
        </w:tblPrEx>
        <w:trPr>
          <w:trHeight w:val="312" w:hRule="atLeast"/>
        </w:trPr>
        <w:tc>
          <w:tcPr>
            <w:tcW w:w="14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c>
          <w:tcPr>
            <w:tcW w:w="3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c>
          <w:tcPr>
            <w:tcW w:w="4394"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312" w:hRule="atLeast"/>
        </w:trPr>
        <w:tc>
          <w:tcPr>
            <w:tcW w:w="14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c>
          <w:tcPr>
            <w:tcW w:w="3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c>
          <w:tcPr>
            <w:tcW w:w="4394"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285" w:hRule="atLeast"/>
        </w:trPr>
        <w:tc>
          <w:tcPr>
            <w:tcW w:w="9799"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2.</w:t>
            </w:r>
            <w:r>
              <w:rPr>
                <w:rFonts w:ascii="宋体" w:hAnsi="宋体" w:eastAsia="宋体" w:cs="宋体"/>
                <w:color w:val="000000"/>
                <w:sz w:val="24"/>
                <w:szCs w:val="18"/>
                <w:lang w:bidi="ar"/>
              </w:rPr>
              <w:t>教学策略与方法选择：</w:t>
            </w:r>
          </w:p>
        </w:tc>
      </w:tr>
      <w:tr>
        <w:tblPrEx>
          <w:tblCellMar>
            <w:top w:w="0" w:type="dxa"/>
            <w:left w:w="108" w:type="dxa"/>
            <w:bottom w:w="0" w:type="dxa"/>
            <w:right w:w="108" w:type="dxa"/>
          </w:tblCellMar>
        </w:tblPrEx>
        <w:trPr>
          <w:trHeight w:val="312" w:hRule="atLeast"/>
        </w:trPr>
        <w:tc>
          <w:tcPr>
            <w:tcW w:w="9799" w:type="dxa"/>
            <w:gridSpan w:val="8"/>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本节内容以课堂讲授与自主式学习等相结合的教学方式；利用PPT、案例、及现场操作等教学手段；加强学生对重点内容和难点内容的理解和掌握。以现实生活中的实际案例图片或录像片段导入课程，以问题的形式进行引导思考，明确学生的学习目的，加深学习印象。教学过程中主要是培养学生对本章内容的兴趣，发挥学生的自主思考能力，调动学生的积极性，增加教学互动，让学生真正动起手来，让学生成为课堂的主人，成为学习的主动者。授课过程中采用总结回顾、举例、提问、实践练习、分析、讨论等形式，让学生参与到学习和教学中。</w:t>
            </w:r>
          </w:p>
          <w:p>
            <w:pPr>
              <w:rPr>
                <w:rFonts w:hint="eastAsia" w:ascii="宋体" w:hAnsi="宋体" w:cs="Tahoma" w:eastAsiaTheme="minorEastAsia"/>
                <w:color w:val="000000"/>
                <w:sz w:val="24"/>
                <w:szCs w:val="24"/>
                <w:lang w:eastAsia="zh-CN"/>
              </w:rPr>
            </w:pPr>
            <w:r>
              <w:rPr>
                <w:rFonts w:hint="eastAsia" w:ascii="宋体" w:hAnsi="宋体" w:eastAsia="宋体" w:cs="宋体"/>
                <w:color w:val="000000"/>
                <w:sz w:val="24"/>
              </w:rPr>
              <w:t>设置课堂提问及课后作业，进一步加深学生的印象，使学生掌握这节课的重点内容，并提出发散、扩展、升华学生思维的问题，让学生课外搜集资料，有利于将来开展更深入的研究</w:t>
            </w:r>
            <w:r>
              <w:rPr>
                <w:rFonts w:hint="eastAsia" w:ascii="宋体" w:hAnsi="宋体" w:eastAsia="宋体" w:cs="宋体"/>
                <w:color w:val="000000"/>
                <w:sz w:val="24"/>
                <w:lang w:eastAsia="zh-CN"/>
              </w:rPr>
              <w:t>。</w:t>
            </w:r>
          </w:p>
        </w:tc>
      </w:tr>
      <w:tr>
        <w:tblPrEx>
          <w:tblCellMar>
            <w:top w:w="0" w:type="dxa"/>
            <w:left w:w="108" w:type="dxa"/>
            <w:bottom w:w="0" w:type="dxa"/>
            <w:right w:w="108" w:type="dxa"/>
          </w:tblCellMar>
        </w:tblPrEx>
        <w:trPr>
          <w:trHeight w:val="312" w:hRule="atLeast"/>
        </w:trPr>
        <w:tc>
          <w:tcPr>
            <w:tcW w:w="9799"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312" w:hRule="atLeast"/>
        </w:trPr>
        <w:tc>
          <w:tcPr>
            <w:tcW w:w="9799"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285" w:hRule="atLeast"/>
        </w:trPr>
        <w:tc>
          <w:tcPr>
            <w:tcW w:w="9799"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3.</w:t>
            </w:r>
            <w:r>
              <w:rPr>
                <w:rFonts w:ascii="宋体" w:hAnsi="宋体" w:eastAsia="宋体" w:cs="宋体"/>
                <w:color w:val="000000"/>
                <w:sz w:val="24"/>
                <w:szCs w:val="18"/>
                <w:lang w:bidi="ar"/>
              </w:rPr>
              <w:t>板书设计</w:t>
            </w: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黑板（白板）设计；</w:t>
            </w: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numPr>
                <w:ilvl w:val="0"/>
                <w:numId w:val="1"/>
              </w:numPr>
              <w:spacing w:line="360" w:lineRule="auto"/>
              <w:rPr>
                <w:rFonts w:hint="eastAsia" w:ascii="宋体" w:hAnsi="宋体" w:eastAsia="宋体" w:cs="宋体"/>
                <w:color w:val="000000"/>
                <w:sz w:val="24"/>
              </w:rPr>
            </w:pPr>
            <w:r>
              <w:rPr>
                <w:rFonts w:hint="eastAsia" w:ascii="宋体" w:hAnsi="宋体" w:eastAsia="宋体" w:cs="宋体"/>
                <w:color w:val="000000"/>
                <w:sz w:val="24"/>
              </w:rPr>
              <w:t>病例讲解</w:t>
            </w:r>
          </w:p>
          <w:p>
            <w:pPr>
              <w:numPr>
                <w:ilvl w:val="0"/>
                <w:numId w:val="1"/>
              </w:numPr>
              <w:spacing w:line="360" w:lineRule="auto"/>
              <w:rPr>
                <w:rFonts w:hint="eastAsia" w:ascii="宋体" w:hAnsi="宋体" w:eastAsia="宋体" w:cs="宋体"/>
                <w:color w:val="000000"/>
                <w:sz w:val="24"/>
              </w:rPr>
            </w:pPr>
            <w:r>
              <w:rPr>
                <w:rFonts w:hint="eastAsia" w:ascii="宋体" w:hAnsi="宋体" w:eastAsia="宋体" w:cs="宋体"/>
                <w:color w:val="000000"/>
                <w:sz w:val="24"/>
              </w:rPr>
              <w:t>概述</w:t>
            </w:r>
          </w:p>
          <w:p>
            <w:pPr>
              <w:numPr>
                <w:ilvl w:val="0"/>
                <w:numId w:val="1"/>
              </w:numPr>
              <w:spacing w:line="360" w:lineRule="auto"/>
              <w:rPr>
                <w:rFonts w:hint="eastAsia" w:ascii="宋体" w:hAnsi="宋体" w:eastAsia="宋体" w:cs="宋体"/>
                <w:color w:val="000000"/>
                <w:sz w:val="24"/>
              </w:rPr>
            </w:pPr>
            <w:r>
              <w:rPr>
                <w:rFonts w:hint="eastAsia" w:ascii="宋体" w:hAnsi="宋体" w:eastAsia="宋体" w:cs="宋体"/>
                <w:color w:val="000000"/>
                <w:sz w:val="24"/>
              </w:rPr>
              <w:t>病因病机</w:t>
            </w:r>
          </w:p>
          <w:p>
            <w:pPr>
              <w:numPr>
                <w:ilvl w:val="0"/>
                <w:numId w:val="1"/>
              </w:numPr>
              <w:spacing w:line="360" w:lineRule="auto"/>
              <w:rPr>
                <w:rFonts w:hint="eastAsia" w:ascii="宋体" w:hAnsi="宋体" w:eastAsia="宋体" w:cs="宋体"/>
                <w:color w:val="000000"/>
                <w:sz w:val="24"/>
              </w:rPr>
            </w:pPr>
            <w:r>
              <w:rPr>
                <w:rFonts w:hint="eastAsia" w:ascii="宋体" w:hAnsi="宋体" w:eastAsia="宋体" w:cs="宋体"/>
                <w:color w:val="000000"/>
                <w:sz w:val="24"/>
              </w:rPr>
              <w:t>急救处理</w:t>
            </w:r>
          </w:p>
          <w:p>
            <w:pPr>
              <w:numPr>
                <w:ilvl w:val="0"/>
                <w:numId w:val="1"/>
              </w:numPr>
              <w:spacing w:line="360" w:lineRule="auto"/>
              <w:rPr>
                <w:rFonts w:hint="eastAsia" w:ascii="宋体" w:hAnsi="宋体" w:eastAsia="宋体" w:cs="宋体"/>
                <w:color w:val="000000"/>
                <w:sz w:val="24"/>
              </w:rPr>
            </w:pPr>
            <w:r>
              <w:rPr>
                <w:rFonts w:hint="eastAsia" w:ascii="宋体" w:hAnsi="宋体" w:eastAsia="宋体" w:cs="宋体"/>
                <w:color w:val="000000"/>
                <w:sz w:val="24"/>
              </w:rPr>
              <w:t>分证论治</w:t>
            </w:r>
          </w:p>
          <w:p>
            <w:pPr>
              <w:numPr>
                <w:ilvl w:val="0"/>
                <w:numId w:val="1"/>
              </w:numPr>
              <w:spacing w:line="360" w:lineRule="auto"/>
              <w:rPr>
                <w:rFonts w:hint="eastAsia" w:ascii="宋体" w:hAnsi="宋体" w:eastAsia="宋体" w:cs="宋体"/>
                <w:color w:val="000000"/>
                <w:sz w:val="24"/>
                <w:szCs w:val="24"/>
              </w:rPr>
            </w:pPr>
            <w:r>
              <w:rPr>
                <w:rFonts w:hint="eastAsia" w:ascii="宋体" w:hAnsi="宋体" w:eastAsia="宋体" w:cs="宋体"/>
                <w:color w:val="000000"/>
                <w:sz w:val="24"/>
              </w:rPr>
              <w:t>临证备要</w:t>
            </w:r>
          </w:p>
          <w:p>
            <w:pPr>
              <w:numPr>
                <w:ilvl w:val="0"/>
                <w:numId w:val="1"/>
              </w:numPr>
              <w:spacing w:line="360" w:lineRule="auto"/>
              <w:rPr>
                <w:rFonts w:hint="eastAsia" w:ascii="宋体" w:hAnsi="宋体" w:eastAsia="宋体" w:cs="宋体"/>
                <w:color w:val="000000"/>
                <w:sz w:val="24"/>
                <w:szCs w:val="24"/>
              </w:rPr>
            </w:pPr>
            <w:r>
              <w:rPr>
                <w:rFonts w:hint="eastAsia" w:ascii="宋体" w:hAnsi="宋体" w:eastAsia="宋体" w:cs="宋体"/>
                <w:color w:val="000000"/>
                <w:sz w:val="24"/>
              </w:rPr>
              <w:t>预后转归</w:t>
            </w: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现代信息媒体设计；</w:t>
            </w: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spacing w:line="360" w:lineRule="auto"/>
              <w:rPr>
                <w:rFonts w:hint="eastAsia" w:ascii="宋体" w:hAnsi="宋体" w:eastAsia="宋体" w:cs="宋体"/>
                <w:color w:val="000000"/>
                <w:sz w:val="24"/>
              </w:rPr>
            </w:pPr>
            <w:r>
              <w:rPr>
                <w:rFonts w:hint="eastAsia" w:ascii="宋体" w:hAnsi="宋体" w:eastAsia="宋体" w:cs="宋体"/>
                <w:color w:val="000000"/>
                <w:sz w:val="24"/>
              </w:rPr>
              <w:t>1、使用丰富、真实的病例结合临床图片配合讲解中暑的病因病机、临床表现、急诊处理等。</w:t>
            </w:r>
          </w:p>
          <w:p>
            <w:pPr>
              <w:spacing w:line="360" w:lineRule="auto"/>
              <w:rPr>
                <w:rFonts w:hint="eastAsia" w:ascii="宋体" w:hAnsi="宋体" w:eastAsia="宋体" w:cs="宋体"/>
                <w:color w:val="000000"/>
                <w:sz w:val="24"/>
              </w:rPr>
            </w:pPr>
            <w:r>
              <w:rPr>
                <w:rFonts w:hint="eastAsia" w:ascii="宋体" w:hAnsi="宋体" w:eastAsia="宋体" w:cs="宋体"/>
                <w:color w:val="000000"/>
                <w:sz w:val="24"/>
              </w:rPr>
              <w:t>2、利用多媒体视频的方式真实、生动展示实际接诊中暑病例的过程，加深学生的印象，提升学生的兴趣。</w:t>
            </w:r>
          </w:p>
          <w:p>
            <w:pPr>
              <w:spacing w:line="360" w:lineRule="auto"/>
              <w:rPr>
                <w:rFonts w:hint="eastAsia" w:ascii="宋体" w:hAnsi="宋体" w:eastAsia="宋体" w:cs="宋体"/>
                <w:color w:val="000000"/>
                <w:sz w:val="24"/>
              </w:rPr>
            </w:pPr>
            <w:r>
              <w:rPr>
                <w:rFonts w:hint="eastAsia" w:ascii="宋体" w:hAnsi="宋体" w:eastAsia="宋体" w:cs="宋体"/>
                <w:color w:val="000000"/>
                <w:sz w:val="24"/>
              </w:rPr>
              <w:t>3、最后利用PPT将本节的重点进行总结、强化以及分析病例，并留下课后讨论题目</w:t>
            </w:r>
          </w:p>
          <w:p>
            <w:pPr>
              <w:rPr>
                <w:rFonts w:ascii="宋体" w:hAnsi="宋体" w:eastAsia="宋体" w:cs="Tahoma"/>
                <w:color w:val="000000"/>
                <w:sz w:val="24"/>
                <w:szCs w:val="24"/>
              </w:rPr>
            </w:pP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285" w:hRule="atLeast"/>
        </w:trPr>
        <w:tc>
          <w:tcPr>
            <w:tcW w:w="9799"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五、教学效果测试（运用有效方式，了解学习者的学习成果）</w:t>
            </w: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1</w:t>
            </w:r>
            <w:r>
              <w:rPr>
                <w:rFonts w:ascii="宋体" w:hAnsi="宋体" w:eastAsia="宋体" w:cs="宋体"/>
                <w:color w:val="000000"/>
                <w:sz w:val="24"/>
                <w:szCs w:val="18"/>
                <w:lang w:bidi="ar"/>
              </w:rPr>
              <w:t>、课内：</w:t>
            </w: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ind w:firstLine="480" w:firstLineChars="200"/>
              <w:rPr>
                <w:rFonts w:ascii="宋体" w:hAnsi="宋体" w:eastAsia="宋体" w:cs="Tahoma"/>
                <w:color w:val="000000"/>
                <w:sz w:val="24"/>
                <w:szCs w:val="24"/>
              </w:rPr>
            </w:pPr>
            <w:r>
              <w:rPr>
                <w:rFonts w:hint="eastAsia" w:ascii="宋体" w:hAnsi="宋体" w:eastAsia="宋体" w:cs="宋体"/>
                <w:color w:val="000000"/>
                <w:sz w:val="24"/>
              </w:rPr>
              <w:t>以现实生活中的实际案例图片或录像片段导入课程，以问题的形式进行引导思考，调动学生兴趣，然后提出问题，当我们身处其中时，我们该如何施救？就此引入该科程内容。课中还可请学生当模特演示救治手法。</w:t>
            </w: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Tahoma"/>
                <w:color w:val="000000"/>
                <w:sz w:val="24"/>
                <w:szCs w:val="24"/>
              </w:rPr>
            </w:pPr>
            <w:r>
              <w:rPr>
                <w:rFonts w:hint="eastAsia" w:ascii="宋体" w:hAnsi="宋体" w:eastAsia="Tahoma" w:cs="宋体"/>
                <w:color w:val="000000"/>
                <w:sz w:val="24"/>
                <w:szCs w:val="18"/>
                <w:lang w:bidi="ar"/>
              </w:rPr>
              <w:t>2</w:t>
            </w:r>
            <w:r>
              <w:rPr>
                <w:rFonts w:ascii="宋体" w:hAnsi="宋体" w:eastAsia="宋体" w:cs="宋体"/>
                <w:color w:val="000000"/>
                <w:sz w:val="24"/>
                <w:szCs w:val="18"/>
                <w:lang w:bidi="ar"/>
              </w:rPr>
              <w:t>：课外：</w:t>
            </w: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lang w:eastAsia="zh-Hans"/>
              </w:rPr>
              <w:t>课程结束后，老师留下课后病例分析，学生们在qq教学群里讨论活跃度较高，并提出问题，老师逐个给予在线解答后进行形成性评价反馈，很好地拓展了学生临床思维。</w:t>
            </w: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285" w:hRule="atLeast"/>
        </w:trPr>
        <w:tc>
          <w:tcPr>
            <w:tcW w:w="9799"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六、摘要或总结；</w:t>
            </w: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spacing w:line="440" w:lineRule="exact"/>
              <w:rPr>
                <w:rFonts w:hint="eastAsia" w:ascii="宋体" w:hAnsi="宋体" w:eastAsia="宋体" w:cs="宋体"/>
                <w:color w:val="000000"/>
                <w:sz w:val="24"/>
              </w:rPr>
            </w:pPr>
            <w:r>
              <w:rPr>
                <w:rFonts w:hint="eastAsia" w:ascii="宋体" w:hAnsi="宋体" w:eastAsia="宋体" w:cs="宋体"/>
                <w:b/>
                <w:bCs/>
                <w:color w:val="000000"/>
                <w:sz w:val="24"/>
              </w:rPr>
              <w:t xml:space="preserve">1、教学过程  </w:t>
            </w:r>
            <w:r>
              <w:rPr>
                <w:rFonts w:hint="eastAsia" w:ascii="宋体" w:hAnsi="宋体" w:eastAsia="宋体" w:cs="宋体"/>
                <w:color w:val="000000"/>
                <w:sz w:val="24"/>
              </w:rPr>
              <w:t>本节课程通过真实的临床案例进行课程导入提高学生的学习兴趣，列举本课堂的重点难点帮助学生明确学习目标，通过前测了解学生的相关内科、诊断学知识掌握程度及预习情况，以参与式学习活动为核心，其理念先进，效果明显，值得推广。</w:t>
            </w:r>
          </w:p>
          <w:p>
            <w:pPr>
              <w:spacing w:line="360" w:lineRule="auto"/>
              <w:rPr>
                <w:rFonts w:hint="eastAsia" w:ascii="宋体" w:hAnsi="宋体" w:eastAsia="宋体" w:cs="宋体"/>
                <w:color w:val="000000"/>
                <w:sz w:val="24"/>
              </w:rPr>
            </w:pPr>
            <w:r>
              <w:rPr>
                <w:rFonts w:hint="eastAsia" w:ascii="宋体" w:hAnsi="宋体" w:eastAsia="宋体" w:cs="宋体"/>
                <w:b/>
                <w:bCs/>
                <w:color w:val="000000"/>
                <w:sz w:val="24"/>
              </w:rPr>
              <w:t xml:space="preserve">2、教学方法 </w:t>
            </w:r>
            <w:r>
              <w:rPr>
                <w:rFonts w:hint="eastAsia" w:ascii="宋体" w:hAnsi="宋体" w:eastAsia="宋体" w:cs="宋体"/>
                <w:color w:val="000000"/>
                <w:sz w:val="24"/>
              </w:rPr>
              <w:t>本课堂采用案例教学、启发式提问、逻辑推理记忆等教学方法并使用丰富的临床图片和视频，围绕以学生为中心的核心，帮助学生掌握中暑的急诊处置。</w:t>
            </w:r>
          </w:p>
          <w:p>
            <w:pPr>
              <w:rPr>
                <w:rFonts w:hint="eastAsia" w:ascii="宋体" w:hAnsi="宋体" w:eastAsia="宋体" w:cs="宋体"/>
                <w:color w:val="000000"/>
                <w:sz w:val="24"/>
                <w:szCs w:val="24"/>
                <w:lang w:eastAsia="zh-CN"/>
              </w:rPr>
            </w:pPr>
            <w:r>
              <w:rPr>
                <w:rFonts w:hint="eastAsia" w:ascii="宋体" w:hAnsi="宋体" w:eastAsia="宋体" w:cs="宋体"/>
                <w:b/>
                <w:bCs/>
                <w:color w:val="000000"/>
                <w:sz w:val="24"/>
              </w:rPr>
              <w:t xml:space="preserve">3、课程思政 </w:t>
            </w:r>
            <w:r>
              <w:rPr>
                <w:rFonts w:hint="eastAsia" w:ascii="宋体" w:hAnsi="宋体" w:eastAsia="宋体" w:cs="宋体"/>
                <w:color w:val="000000"/>
                <w:sz w:val="24"/>
              </w:rPr>
              <w:t>本课堂除了讲解中暑的知识外，还注重医学人文精神的培养和情感教育，促进学生德智全面发展，培养学生的人文精神、科研探索精神并进行情感教育</w:t>
            </w:r>
            <w:r>
              <w:rPr>
                <w:rFonts w:hint="eastAsia" w:ascii="宋体" w:hAnsi="宋体" w:eastAsia="宋体" w:cs="宋体"/>
                <w:color w:val="000000"/>
                <w:sz w:val="24"/>
                <w:lang w:eastAsia="zh-CN"/>
              </w:rPr>
              <w:t>。</w:t>
            </w:r>
          </w:p>
          <w:p>
            <w:pPr>
              <w:rPr>
                <w:rFonts w:ascii="宋体" w:hAnsi="宋体" w:eastAsia="宋体" w:cs="Tahoma"/>
                <w:color w:val="000000"/>
                <w:sz w:val="24"/>
                <w:szCs w:val="24"/>
              </w:rPr>
            </w:pP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285" w:hRule="atLeast"/>
        </w:trPr>
        <w:tc>
          <w:tcPr>
            <w:tcW w:w="9799"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七、学习资源；</w:t>
            </w:r>
          </w:p>
        </w:tc>
      </w:tr>
      <w:tr>
        <w:tblPrEx>
          <w:tblCellMar>
            <w:top w:w="0" w:type="dxa"/>
            <w:left w:w="108" w:type="dxa"/>
            <w:bottom w:w="0" w:type="dxa"/>
            <w:right w:w="108" w:type="dxa"/>
          </w:tblCellMar>
        </w:tblPrEx>
        <w:trPr>
          <w:trHeight w:val="285" w:hRule="atLeast"/>
        </w:trPr>
        <w:tc>
          <w:tcPr>
            <w:tcW w:w="9799"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spacing w:line="440" w:lineRule="exact"/>
              <w:jc w:val="left"/>
              <w:rPr>
                <w:rFonts w:hint="eastAsia" w:ascii="宋体" w:hAnsi="宋体" w:eastAsia="宋体" w:cs="宋体"/>
                <w:color w:val="000000"/>
                <w:sz w:val="24"/>
                <w:lang w:eastAsia="zh-Hans"/>
              </w:rPr>
            </w:pPr>
            <w:r>
              <w:rPr>
                <w:rFonts w:hint="eastAsia" w:ascii="宋体" w:hAnsi="宋体" w:eastAsia="宋体" w:cs="宋体"/>
                <w:color w:val="000000"/>
                <w:sz w:val="24"/>
                <w:lang w:eastAsia="zh-Hans"/>
              </w:rPr>
              <w:t>1、教材：《中医急诊学》第十版，“十三五”规划教材</w:t>
            </w:r>
          </w:p>
          <w:p>
            <w:pPr>
              <w:spacing w:line="440" w:lineRule="exact"/>
              <w:jc w:val="left"/>
              <w:rPr>
                <w:rFonts w:hint="eastAsia" w:ascii="宋体" w:hAnsi="宋体" w:eastAsia="宋体" w:cs="宋体"/>
                <w:color w:val="000000"/>
                <w:sz w:val="24"/>
                <w:lang w:eastAsia="zh-Hans"/>
              </w:rPr>
            </w:pPr>
            <w:r>
              <w:rPr>
                <w:rFonts w:hint="eastAsia" w:ascii="宋体" w:hAnsi="宋体" w:eastAsia="宋体" w:cs="宋体"/>
                <w:color w:val="000000"/>
                <w:sz w:val="24"/>
              </w:rPr>
              <w:t>2</w:t>
            </w:r>
            <w:r>
              <w:rPr>
                <w:rFonts w:hint="eastAsia" w:ascii="宋体" w:hAnsi="宋体" w:eastAsia="宋体" w:cs="宋体"/>
                <w:color w:val="000000"/>
                <w:sz w:val="24"/>
                <w:lang w:eastAsia="zh-Hans"/>
              </w:rPr>
              <w:t>、多媒体课件：结合教学经验，制作PPT多媒体课件，通过病例真实的图片等内容，充分体现呕吐、腹泻等形态学学习特点。</w:t>
            </w:r>
          </w:p>
          <w:p>
            <w:pPr>
              <w:spacing w:line="440" w:lineRule="exact"/>
              <w:jc w:val="left"/>
              <w:rPr>
                <w:rFonts w:hint="eastAsia" w:ascii="宋体" w:hAnsi="宋体" w:eastAsia="宋体" w:cs="宋体"/>
                <w:color w:val="000000"/>
                <w:sz w:val="24"/>
                <w:lang w:eastAsia="zh-Hans"/>
              </w:rPr>
            </w:pPr>
            <w:r>
              <w:rPr>
                <w:rFonts w:hint="eastAsia" w:ascii="宋体" w:hAnsi="宋体" w:eastAsia="宋体" w:cs="宋体"/>
                <w:color w:val="000000"/>
                <w:sz w:val="24"/>
                <w:lang w:eastAsia="zh-Hans"/>
              </w:rPr>
              <w:t>3、网上教学平台：通过QQ群建立学习群，课下与学生进行交流和讨论，将课堂辅助教学资料上传QQ群，供学生下载学习</w:t>
            </w:r>
          </w:p>
          <w:p>
            <w:pPr>
              <w:spacing w:line="440" w:lineRule="exact"/>
              <w:jc w:val="left"/>
              <w:rPr>
                <w:rFonts w:hint="eastAsia" w:ascii="宋体" w:hAnsi="宋体" w:eastAsia="宋体" w:cs="宋体"/>
                <w:color w:val="000000"/>
                <w:sz w:val="24"/>
                <w:lang w:eastAsia="zh-Hans"/>
              </w:rPr>
            </w:pPr>
            <w:r>
              <w:rPr>
                <w:rFonts w:hint="eastAsia" w:ascii="宋体" w:hAnsi="宋体" w:eastAsia="宋体" w:cs="宋体"/>
                <w:color w:val="000000"/>
                <w:sz w:val="24"/>
                <w:lang w:eastAsia="zh-Hans"/>
              </w:rPr>
              <w:t>4、网络学习资源：</w:t>
            </w:r>
          </w:p>
          <w:p>
            <w:pPr>
              <w:rPr>
                <w:rFonts w:hint="eastAsia" w:ascii="宋体" w:hAnsi="宋体" w:eastAsia="宋体" w:cs="宋体"/>
                <w:color w:val="000000"/>
                <w:sz w:val="24"/>
                <w:lang w:eastAsia="zh-Hans"/>
              </w:rPr>
            </w:pPr>
            <w:r>
              <w:rPr>
                <w:rFonts w:hint="eastAsia" w:ascii="宋体" w:hAnsi="宋体" w:eastAsia="宋体" w:cs="宋体"/>
                <w:color w:val="000000"/>
                <w:sz w:val="24"/>
                <w:lang w:eastAsia="zh-Hans"/>
              </w:rPr>
              <w:t>中国知网、百度学术、丁香园</w:t>
            </w: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285" w:hRule="atLeast"/>
        </w:trPr>
        <w:tc>
          <w:tcPr>
            <w:tcW w:w="9799"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八、教学反思</w:t>
            </w:r>
          </w:p>
        </w:tc>
      </w:tr>
      <w:tr>
        <w:tblPrEx>
          <w:tblCellMar>
            <w:top w:w="0" w:type="dxa"/>
            <w:left w:w="108" w:type="dxa"/>
            <w:bottom w:w="0" w:type="dxa"/>
            <w:right w:w="108" w:type="dxa"/>
          </w:tblCellMar>
        </w:tblPrEx>
        <w:trPr>
          <w:trHeight w:val="312" w:hRule="atLeast"/>
        </w:trPr>
        <w:tc>
          <w:tcPr>
            <w:tcW w:w="9799" w:type="dxa"/>
            <w:gridSpan w:val="8"/>
            <w:vMerge w:val="restart"/>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spacing w:line="360" w:lineRule="auto"/>
              <w:rPr>
                <w:rFonts w:hint="eastAsia" w:ascii="宋体" w:hAnsi="宋体" w:eastAsia="宋体" w:cs="宋体"/>
                <w:color w:val="000000"/>
                <w:sz w:val="24"/>
              </w:rPr>
            </w:pPr>
            <w:r>
              <w:rPr>
                <w:rFonts w:hint="eastAsia" w:ascii="宋体" w:hAnsi="宋体" w:eastAsia="宋体" w:cs="宋体"/>
                <w:b/>
                <w:bCs/>
                <w:color w:val="000000"/>
                <w:sz w:val="24"/>
              </w:rPr>
              <w:t>1、优点：</w:t>
            </w:r>
            <w:r>
              <w:rPr>
                <w:rFonts w:hint="eastAsia" w:ascii="宋体" w:hAnsi="宋体" w:eastAsia="宋体" w:cs="宋体"/>
                <w:color w:val="000000"/>
                <w:sz w:val="24"/>
                <w:lang w:eastAsia="zh-Hans"/>
              </w:rPr>
              <w:t>本堂课的设计建立在学生已系统学过内科学的基础上，通过实际临床案例，引导学生建立临床急诊处理思维，对所学知识能灵活运用，融会贯通，为今后实际临床做准备。</w:t>
            </w:r>
          </w:p>
          <w:p>
            <w:pPr>
              <w:spacing w:line="360" w:lineRule="auto"/>
              <w:rPr>
                <w:rFonts w:hint="eastAsia" w:ascii="宋体" w:hAnsi="宋体" w:eastAsia="宋体" w:cs="宋体"/>
                <w:color w:val="000000"/>
                <w:sz w:val="24"/>
              </w:rPr>
            </w:pPr>
            <w:r>
              <w:rPr>
                <w:rFonts w:hint="eastAsia" w:ascii="宋体" w:hAnsi="宋体" w:eastAsia="宋体" w:cs="宋体"/>
                <w:b/>
                <w:bCs/>
                <w:color w:val="000000"/>
                <w:sz w:val="24"/>
              </w:rPr>
              <w:t>2、不足：</w:t>
            </w:r>
            <w:r>
              <w:rPr>
                <w:rFonts w:hint="eastAsia" w:ascii="宋体" w:hAnsi="宋体" w:eastAsia="宋体" w:cs="宋体"/>
                <w:color w:val="000000"/>
                <w:sz w:val="24"/>
                <w:lang w:eastAsia="zh-Hans"/>
              </w:rPr>
              <w:t>而由于课程时间关系，部分教学内容及案例讨论环节只能点到为止，留个学生独立思考的时间不足，今后应改进教学设计，让本课堂的设计更严密、更科学，尤其要预留出学生活动的时间，继续反思教学目标的实现手段、方式、方法是否得当，教学时间的安排是否合适，问题的设计是否科学等等，进一步提升自己的教学素养，提高自己教学语言表达能力，多听、多学、多练，希望在下次课程中能多预留与学生病例讨论的时间，积极引导临床思维的建立。</w:t>
            </w:r>
          </w:p>
          <w:p>
            <w:pPr>
              <w:rPr>
                <w:rFonts w:ascii="宋体" w:hAnsi="宋体" w:eastAsia="宋体" w:cs="Tahoma"/>
                <w:color w:val="000000"/>
                <w:sz w:val="24"/>
                <w:szCs w:val="24"/>
              </w:rPr>
            </w:pPr>
          </w:p>
        </w:tc>
      </w:tr>
      <w:tr>
        <w:tblPrEx>
          <w:tblCellMar>
            <w:top w:w="0" w:type="dxa"/>
            <w:left w:w="108" w:type="dxa"/>
            <w:bottom w:w="0" w:type="dxa"/>
            <w:right w:w="108" w:type="dxa"/>
          </w:tblCellMar>
        </w:tblPrEx>
        <w:trPr>
          <w:trHeight w:val="312" w:hRule="atLeast"/>
        </w:trPr>
        <w:tc>
          <w:tcPr>
            <w:tcW w:w="9799" w:type="dxa"/>
            <w:gridSpan w:val="8"/>
            <w:vMerge w:val="continue"/>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rPr>
                <w:rFonts w:ascii="Calibri" w:hAnsi="Calibri" w:eastAsia="宋体" w:cs="Times New Roman"/>
                <w:sz w:val="20"/>
                <w:szCs w:val="20"/>
              </w:rPr>
            </w:pPr>
          </w:p>
        </w:tc>
      </w:tr>
      <w:tr>
        <w:tblPrEx>
          <w:tblCellMar>
            <w:top w:w="0" w:type="dxa"/>
            <w:left w:w="108" w:type="dxa"/>
            <w:bottom w:w="0" w:type="dxa"/>
            <w:right w:w="108" w:type="dxa"/>
          </w:tblCellMar>
        </w:tblPrEx>
        <w:trPr>
          <w:trHeight w:val="285" w:hRule="atLeast"/>
        </w:trPr>
        <w:tc>
          <w:tcPr>
            <w:tcW w:w="9799" w:type="dxa"/>
            <w:gridSpan w:val="8"/>
            <w:tcBorders>
              <w:top w:val="single" w:color="000000" w:sz="4" w:space="0"/>
              <w:left w:val="single" w:color="000000" w:sz="4" w:space="0"/>
              <w:bottom w:val="nil"/>
              <w:right w:val="single" w:color="000000" w:sz="4" w:space="0"/>
            </w:tcBorders>
            <w:shd w:val="clear" w:color="auto" w:fill="auto"/>
            <w:tcMar>
              <w:top w:w="15" w:type="dxa"/>
              <w:left w:w="15" w:type="dxa"/>
              <w:bottom w:w="15" w:type="dxa"/>
              <w:right w:w="15" w:type="dxa"/>
            </w:tcMar>
          </w:tcPr>
          <w:p>
            <w:pPr>
              <w:widowControl/>
              <w:textAlignment w:val="bottom"/>
              <w:rPr>
                <w:rFonts w:ascii="宋体" w:hAnsi="宋体" w:eastAsia="宋体" w:cs="宋体"/>
                <w:b/>
                <w:color w:val="000000"/>
                <w:sz w:val="24"/>
                <w:szCs w:val="24"/>
              </w:rPr>
            </w:pPr>
            <w:r>
              <w:rPr>
                <w:rFonts w:hint="eastAsia" w:ascii="宋体" w:hAnsi="宋体" w:eastAsia="宋体" w:cs="宋体"/>
                <w:b/>
                <w:color w:val="000000"/>
                <w:kern w:val="0"/>
                <w:sz w:val="24"/>
                <w:szCs w:val="24"/>
                <w:lang w:bidi="ar"/>
              </w:rPr>
              <w:t>九、教研室意见（本设计的优点、不足及建议）</w:t>
            </w:r>
          </w:p>
        </w:tc>
      </w:tr>
      <w:tr>
        <w:tblPrEx>
          <w:tblCellMar>
            <w:top w:w="0" w:type="dxa"/>
            <w:left w:w="108" w:type="dxa"/>
            <w:bottom w:w="0" w:type="dxa"/>
            <w:right w:w="108" w:type="dxa"/>
          </w:tblCellMar>
        </w:tblPrEx>
        <w:trPr>
          <w:trHeight w:val="312" w:hRule="atLeast"/>
        </w:trPr>
        <w:tc>
          <w:tcPr>
            <w:tcW w:w="9799" w:type="dxa"/>
            <w:gridSpan w:val="8"/>
            <w:tcBorders>
              <w:top w:val="nil"/>
              <w:left w:val="single" w:color="000000" w:sz="4" w:space="0"/>
              <w:bottom w:val="single" w:color="000000" w:sz="4" w:space="0"/>
              <w:right w:val="single" w:color="000000" w:sz="4" w:space="0"/>
            </w:tcBorders>
            <w:shd w:val="clear" w:color="auto" w:fill="auto"/>
            <w:tcMar>
              <w:top w:w="15" w:type="dxa"/>
              <w:left w:w="15" w:type="dxa"/>
              <w:bottom w:w="15" w:type="dxa"/>
              <w:right w:w="15" w:type="dxa"/>
            </w:tcMar>
          </w:tcPr>
          <w:p>
            <w:pPr>
              <w:ind w:firstLine="480" w:firstLineChars="200"/>
              <w:rPr>
                <w:rFonts w:ascii="宋体" w:hAnsi="宋体" w:eastAsia="宋体"/>
                <w:sz w:val="24"/>
              </w:rPr>
            </w:pPr>
            <w:r>
              <w:rPr>
                <w:rFonts w:hint="eastAsia" w:ascii="宋体" w:hAnsi="宋体" w:eastAsia="宋体"/>
                <w:sz w:val="24"/>
              </w:rPr>
              <w:t>本教学设计能够根据教育规律和学生特点，采用先进的教学思想和理念进行教学整体设计。教学过程设计与流程图设计合理，安排有适当的教学任务和教学过程，有利于教学目标的落实；各教学环节的操作描述具体；教学过程完整；有助于学生多种智能的发展，体现自主、合作、探究的学习方式；教学设计流程图科学规范，简洁明了，一目了然。教学评价设计可操作的评价方式，体现形成性评价和过程性评价的观点。资源支持及反思方面能提供或说明课程学习所需的技术和资源环境的支持，对教学设计方案的设计进行反思总结。</w:t>
            </w:r>
          </w:p>
          <w:p>
            <w:pPr>
              <w:rPr>
                <w:rFonts w:ascii="宋体" w:hAnsi="宋体" w:eastAsia="宋体" w:cs="Tahoma"/>
                <w:color w:val="000000"/>
                <w:sz w:val="24"/>
                <w:szCs w:val="24"/>
              </w:rPr>
            </w:pPr>
            <w:r>
              <w:rPr>
                <w:rFonts w:hint="eastAsia" w:ascii="宋体" w:hAnsi="宋体" w:eastAsia="宋体"/>
                <w:sz w:val="24"/>
              </w:rPr>
              <w:t>整堂课学生们在一种欢快的气氛中学习新知识。在教学中，让学生通过探案的方式自主探索，为学生学习中医急诊学提供了一个开阔的空间，培养学生的动手操作的实践能力和探索精神，也提高了学生的综合能力，让学生在交流中思考，在思考中探索获取新知识，充分发挥学生的主体性和积极性。</w:t>
            </w:r>
            <w:bookmarkStart w:id="0" w:name="_GoBack"/>
            <w:bookmarkEnd w:id="0"/>
          </w:p>
        </w:tc>
      </w:tr>
    </w:tbl>
    <w:p>
      <w:pPr>
        <w:ind w:firstLine="600" w:firstLineChars="200"/>
        <w:rPr>
          <w:rFonts w:ascii="宋体" w:hAnsi="宋体" w:eastAsia="宋体" w:cs="宋体"/>
          <w:sz w:val="30"/>
          <w:szCs w:val="30"/>
        </w:rPr>
      </w:pPr>
    </w:p>
    <w:p/>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AD0DBBCA-C686-4DFB-A867-CC5D88977F65}"/>
  </w:font>
  <w:font w:name="等线">
    <w:panose1 w:val="02010600030101010101"/>
    <w:charset w:val="86"/>
    <w:family w:val="auto"/>
    <w:pitch w:val="default"/>
    <w:sig w:usb0="A00002BF" w:usb1="38CF7CFA" w:usb2="00000016" w:usb3="00000000" w:csb0="0004000F" w:csb1="00000000"/>
    <w:embedRegular r:id="rId2" w:fontKey="{29B3A1FD-DE92-4194-B1CC-A2B02BE7AB69}"/>
  </w:font>
  <w:font w:name="方正小标宋简体">
    <w:panose1 w:val="02000000000000000000"/>
    <w:charset w:val="86"/>
    <w:family w:val="auto"/>
    <w:pitch w:val="default"/>
    <w:sig w:usb0="00000001" w:usb1="08000000" w:usb2="00000000" w:usb3="00000000" w:csb0="00040000" w:csb1="00000000"/>
    <w:embedRegular r:id="rId3" w:fontKey="{A1F84CFB-2F84-44C9-BFD3-78F72F9A01E2}"/>
  </w:font>
  <w:font w:name="华文中宋">
    <w:altName w:val="宋体"/>
    <w:panose1 w:val="02010600040101010101"/>
    <w:charset w:val="86"/>
    <w:family w:val="auto"/>
    <w:pitch w:val="default"/>
    <w:sig w:usb0="00000000" w:usb1="00000000" w:usb2="00000010" w:usb3="00000000" w:csb0="0004009F" w:csb1="00000000"/>
    <w:embedRegular r:id="rId4" w:fontKey="{2C958E13-63E3-4149-97E8-F4430712D0B0}"/>
  </w:font>
  <w:font w:name="Tahoma">
    <w:panose1 w:val="020B0604030504040204"/>
    <w:charset w:val="00"/>
    <w:family w:val="swiss"/>
    <w:pitch w:val="default"/>
    <w:sig w:usb0="E1002EFF" w:usb1="C000605B" w:usb2="00000029" w:usb3="00000000" w:csb0="200101FF" w:csb1="20280000"/>
    <w:embedRegular r:id="rId5" w:fontKey="{CE9A0030-3C59-4AFF-97A3-1130250CA826}"/>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FCFEEE"/>
    <w:multiLevelType w:val="singleLevel"/>
    <w:tmpl w:val="4DFCFEE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RlNjA0YTliMTA2NWY5N2U4YmJkYjFkYjJmYWQ0ZDEifQ=="/>
  </w:docVars>
  <w:rsids>
    <w:rsidRoot w:val="00D74AAC"/>
    <w:rsid w:val="00237CB9"/>
    <w:rsid w:val="00D078EA"/>
    <w:rsid w:val="00D74AAC"/>
    <w:rsid w:val="3F7E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415</Words>
  <Characters>425</Characters>
  <Lines>4</Lines>
  <Paragraphs>1</Paragraphs>
  <TotalTime>0</TotalTime>
  <ScaleCrop>false</ScaleCrop>
  <LinksUpToDate>false</LinksUpToDate>
  <CharactersWithSpaces>428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2022-11-02T14:15:00Z</dcterms:created>
  <dc:creator>office2016mac01723</dc:creator>
  <cp:lastModifiedBy>iphoneOY</cp:lastModifiedBy>
  <dcterms:modified xsi:type="dcterms:W3CDTF">2022-11-16T03:00:05Z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B2ECCF0E5A274AB7B9C93BAEFDE60060</vt:lpwstr>
  </property>
</Properties>
</file>