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学科带头人</w:t>
      </w:r>
    </w:p>
    <w:p>
      <w:pPr>
        <w:ind w:firstLine="560" w:firstLineChars="200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林寒梅，主任医师，教授，博士研究生导师，广西名中医，广西中医药大学第一附属医院妇科主任、妇产科教研室主任、学科带头人。执教32年。</w:t>
      </w:r>
    </w:p>
    <w:p>
      <w:pPr>
        <w:ind w:firstLine="560" w:firstLineChars="200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主持开展国家级、厅局级等项目十多项，并将科研成果运用到教学当中，并承担本科、研究生课程。本学期主要承担中医学专业《中医妇科学》课程。</w:t>
      </w:r>
    </w:p>
    <w:p>
      <w:pPr>
        <w:ind w:firstLine="560" w:firstLineChars="200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主编《壮医妇科学》教材、参编《中医妇科学》、《中西医结合妇产科学》等多部教材。</w:t>
      </w:r>
    </w:p>
    <w:p>
      <w:pPr>
        <w:ind w:firstLine="560" w:firstLineChars="200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具体如下：</w:t>
      </w:r>
      <w:bookmarkStart w:id="18" w:name="_GoBack"/>
      <w:bookmarkEnd w:id="18"/>
    </w:p>
    <w:p>
      <w:pPr>
        <w:ind w:firstLine="560" w:firstLineChars="200"/>
        <w:rPr>
          <w:rFonts w:hint="eastAsia"/>
          <w:sz w:val="28"/>
          <w:szCs w:val="28"/>
          <w:lang w:eastAsia="zh-CN"/>
        </w:rPr>
      </w:pPr>
    </w:p>
    <w:p>
      <w:pPr>
        <w:ind w:firstLine="560" w:firstLineChars="200"/>
        <w:rPr>
          <w:rFonts w:hint="eastAsia"/>
          <w:sz w:val="28"/>
          <w:szCs w:val="28"/>
          <w:lang w:eastAsia="zh-CN"/>
        </w:rPr>
      </w:pPr>
    </w:p>
    <w:p>
      <w:pPr>
        <w:ind w:firstLine="560" w:firstLineChars="200"/>
        <w:rPr>
          <w:rFonts w:hint="eastAsia"/>
          <w:sz w:val="28"/>
          <w:szCs w:val="28"/>
          <w:lang w:eastAsia="zh-CN"/>
        </w:rPr>
      </w:pPr>
    </w:p>
    <w:p>
      <w:pPr>
        <w:ind w:firstLine="560" w:firstLineChars="200"/>
        <w:rPr>
          <w:rFonts w:hint="eastAsia"/>
          <w:sz w:val="28"/>
          <w:szCs w:val="28"/>
          <w:lang w:eastAsia="zh-CN"/>
        </w:rPr>
      </w:pPr>
    </w:p>
    <w:p>
      <w:pPr>
        <w:ind w:firstLine="560" w:firstLineChars="200"/>
        <w:rPr>
          <w:rFonts w:hint="eastAsia"/>
          <w:sz w:val="28"/>
          <w:szCs w:val="28"/>
          <w:lang w:eastAsia="zh-CN"/>
        </w:rPr>
      </w:pP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</w:pPr>
      <w:bookmarkStart w:id="0" w:name="_Toc32183_WPSOffice_Level1"/>
      <w:r>
        <w:rPr>
          <w:rFonts w:hint="eastAsia"/>
        </w:rPr>
        <w:t>一、硕导/博导证明</w:t>
      </w:r>
      <w:bookmarkEnd w:id="0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宋体" w:eastAsia="仿宋_GB2312"/>
          <w:bCs/>
          <w:sz w:val="32"/>
          <w:szCs w:val="32"/>
          <w:lang w:eastAsia="zh-CN"/>
        </w:rPr>
      </w:pPr>
      <w:r>
        <w:rPr>
          <w:rFonts w:hint="eastAsia" w:ascii="仿宋_GB2312" w:hAnsi="宋体" w:eastAsia="仿宋_GB2312"/>
          <w:bCs/>
          <w:sz w:val="32"/>
          <w:szCs w:val="32"/>
          <w:lang w:eastAsia="zh-CN"/>
        </w:rPr>
        <w:drawing>
          <wp:inline distT="0" distB="0" distL="114300" distR="114300">
            <wp:extent cx="4693920" cy="3334385"/>
            <wp:effectExtent l="0" t="0" r="11430" b="18415"/>
            <wp:docPr id="78" name="图片 78" descr="硕导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硕导证书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93920" cy="333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0" w:firstLineChars="0"/>
        <w:textAlignment w:val="auto"/>
      </w:pPr>
      <w:bookmarkStart w:id="1" w:name="_Toc3850_WPSOffice_Level1"/>
      <w:r>
        <w:rPr>
          <w:rFonts w:hint="eastAsia"/>
          <w:lang w:eastAsia="zh-CN"/>
        </w:rPr>
        <w:t>职称证明</w:t>
      </w:r>
      <w:bookmarkEnd w:id="1"/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14595" cy="3761105"/>
            <wp:effectExtent l="0" t="0" r="14605" b="10795"/>
            <wp:docPr id="2" name="图片 2" descr="职称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职称证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14595" cy="376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eastAsia="zh-CN"/>
        </w:rPr>
      </w:pPr>
    </w:p>
    <w:p>
      <w:pPr>
        <w:pStyle w:val="2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0" w:firstLineChars="0"/>
        <w:textAlignment w:val="auto"/>
      </w:pPr>
      <w:bookmarkStart w:id="2" w:name="_Toc24072_WPSOffice_Level1"/>
      <w:r>
        <w:rPr>
          <w:rFonts w:hint="eastAsia"/>
          <w:lang w:eastAsia="zh-CN"/>
        </w:rPr>
        <w:t>学术声誉</w:t>
      </w:r>
      <w:bookmarkEnd w:id="2"/>
    </w:p>
    <w:p>
      <w:pPr>
        <w:numPr>
          <w:ilvl w:val="0"/>
          <w:numId w:val="2"/>
        </w:numPr>
        <w:tabs>
          <w:tab w:val="left" w:pos="420"/>
        </w:tabs>
        <w:ind w:left="425" w:leftChars="0" w:hanging="425" w:firstLineChars="0"/>
        <w:jc w:val="left"/>
        <w:rPr>
          <w:rFonts w:hint="eastAsia" w:ascii="宋体" w:hAnsi="宋体" w:eastAsia="宋体"/>
          <w:sz w:val="21"/>
          <w:szCs w:val="24"/>
          <w:lang w:val="en-US" w:eastAsia="zh-CN"/>
        </w:rPr>
      </w:pPr>
      <w:bookmarkStart w:id="3" w:name="_Toc3850_WPSOffice_Level2"/>
      <w:r>
        <w:rPr>
          <w:rFonts w:hint="eastAsia" w:ascii="宋体" w:hAnsi="宋体" w:eastAsia="宋体"/>
          <w:sz w:val="21"/>
          <w:szCs w:val="24"/>
          <w:lang w:val="en-US" w:eastAsia="zh-CN"/>
        </w:rPr>
        <w:t>广西妇幼健康服务重点建设学科（中医妇科学）学科带头人</w:t>
      </w:r>
      <w:bookmarkEnd w:id="3"/>
    </w:p>
    <w:p>
      <w:pPr>
        <w:numPr>
          <w:ilvl w:val="0"/>
          <w:numId w:val="0"/>
        </w:numPr>
        <w:ind w:leftChars="0"/>
        <w:jc w:val="left"/>
        <w:rPr>
          <w:rFonts w:hint="eastAsia" w:ascii="宋体" w:hAnsi="宋体" w:eastAsia="宋体"/>
          <w:sz w:val="21"/>
          <w:szCs w:val="24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2405" cy="7137400"/>
            <wp:effectExtent l="0" t="0" r="4445" b="6350"/>
            <wp:docPr id="74" name="图片 7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13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2405" cy="7422515"/>
            <wp:effectExtent l="0" t="0" r="4445" b="6985"/>
            <wp:docPr id="75" name="图片 7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2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9070" cy="7382510"/>
            <wp:effectExtent l="0" t="0" r="17780" b="8890"/>
            <wp:docPr id="76" name="图片 7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38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2"/>
        </w:numPr>
        <w:ind w:left="425" w:leftChars="0" w:hanging="425" w:firstLineChars="0"/>
        <w:jc w:val="left"/>
        <w:rPr>
          <w:rFonts w:hint="eastAsia" w:ascii="宋体" w:hAnsi="宋体" w:eastAsia="宋体"/>
          <w:sz w:val="21"/>
          <w:szCs w:val="24"/>
          <w:lang w:val="en-US" w:eastAsia="zh-CN"/>
        </w:rPr>
      </w:pPr>
      <w:bookmarkStart w:id="4" w:name="_Toc19568_WPSOffice_Level2"/>
      <w:r>
        <w:rPr>
          <w:rFonts w:hint="eastAsia" w:ascii="宋体" w:hAnsi="宋体" w:eastAsia="宋体"/>
          <w:sz w:val="21"/>
          <w:szCs w:val="24"/>
          <w:lang w:val="en-US" w:eastAsia="zh-CN"/>
        </w:rPr>
        <w:t>广西中医药大学重点学科（中医妇科学）学科负责人</w:t>
      </w:r>
      <w:bookmarkEnd w:id="4"/>
    </w:p>
    <w:p>
      <w:pPr>
        <w:numPr>
          <w:ilvl w:val="0"/>
          <w:numId w:val="0"/>
        </w:numPr>
        <w:ind w:leftChars="0"/>
        <w:jc w:val="left"/>
        <w:rPr>
          <w:rFonts w:hint="eastAsia" w:ascii="宋体" w:hAnsi="宋体" w:eastAsia="宋体"/>
          <w:sz w:val="21"/>
          <w:szCs w:val="24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135" cy="7461250"/>
            <wp:effectExtent l="0" t="0" r="5715" b="6350"/>
            <wp:docPr id="69" name="图片 6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387590"/>
            <wp:effectExtent l="0" t="0" r="5715" b="3810"/>
            <wp:docPr id="70" name="图片 7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8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314565"/>
            <wp:effectExtent l="0" t="0" r="5715" b="635"/>
            <wp:docPr id="71" name="图片 7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1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61250"/>
            <wp:effectExtent l="0" t="0" r="5715" b="6350"/>
            <wp:docPr id="73" name="图片 7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numPr>
          <w:ilvl w:val="0"/>
          <w:numId w:val="2"/>
        </w:numPr>
        <w:ind w:left="425" w:leftChars="0" w:hanging="425" w:firstLineChars="0"/>
        <w:jc w:val="left"/>
        <w:rPr>
          <w:rFonts w:hint="eastAsia" w:ascii="宋体" w:hAnsi="宋体" w:eastAsia="宋体"/>
          <w:sz w:val="21"/>
          <w:szCs w:val="24"/>
          <w:lang w:val="en-US" w:eastAsia="zh-CN"/>
        </w:rPr>
      </w:pPr>
      <w:bookmarkStart w:id="5" w:name="_Toc11902_WPSOffice_Level2"/>
      <w:r>
        <w:rPr>
          <w:rFonts w:hint="eastAsia" w:ascii="宋体" w:hAnsi="宋体" w:eastAsia="宋体"/>
          <w:sz w:val="21"/>
          <w:szCs w:val="24"/>
          <w:lang w:val="en-US" w:eastAsia="zh-CN"/>
        </w:rPr>
        <w:t>广西中医药大学第一附属医院妇科学科带头人</w:t>
      </w:r>
      <w:bookmarkEnd w:id="5"/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865" cy="7253605"/>
            <wp:effectExtent l="0" t="0" r="6985" b="4445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865" cy="7253605"/>
            <wp:effectExtent l="0" t="0" r="6985" b="4445"/>
            <wp:docPr id="34" name="图片 3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865" cy="7253605"/>
            <wp:effectExtent l="0" t="0" r="6985" b="4445"/>
            <wp:docPr id="72" name="图片 7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textAlignment w:val="auto"/>
        <w:rPr>
          <w:rFonts w:hint="eastAsia"/>
          <w:lang w:eastAsia="zh-CN"/>
        </w:rPr>
      </w:pPr>
      <w:bookmarkStart w:id="6" w:name="_Toc24072_WPSOffice_Level2"/>
      <w:r>
        <w:rPr>
          <w:rFonts w:hint="eastAsia" w:ascii="宋体" w:hAnsi="宋体" w:eastAsia="宋体"/>
          <w:b w:val="0"/>
          <w:bCs w:val="0"/>
          <w:sz w:val="21"/>
          <w:szCs w:val="24"/>
          <w:lang w:val="en-US" w:eastAsia="zh-CN"/>
        </w:rPr>
        <w:t>4、广西名中医</w:t>
      </w:r>
      <w:bookmarkEnd w:id="6"/>
    </w:p>
    <w:p>
      <w:pPr>
        <w:pStyle w:val="2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eastAsiaTheme="majorEastAsia"/>
          <w:lang w:eastAsia="zh-CN"/>
        </w:rPr>
      </w:pPr>
      <w:r>
        <w:rPr>
          <w:rFonts w:hint="eastAsia" w:eastAsiaTheme="majorEastAsia"/>
          <w:lang w:eastAsia="zh-CN"/>
        </w:rPr>
        <w:drawing>
          <wp:inline distT="0" distB="0" distL="114300" distR="114300">
            <wp:extent cx="5216525" cy="6859270"/>
            <wp:effectExtent l="0" t="0" r="3175" b="17780"/>
            <wp:docPr id="23" name="图片 23" descr="广西名中医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广西名中医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16525" cy="685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4819650" cy="8343900"/>
            <wp:effectExtent l="0" t="0" r="0" b="0"/>
            <wp:docPr id="24" name="图片 24" descr="广西名中医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广西名中医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0" w:firstLineChars="0"/>
        <w:textAlignment w:val="auto"/>
      </w:pPr>
      <w:bookmarkStart w:id="7" w:name="_Toc8442_WPSOffice_Level1"/>
      <w:r>
        <w:rPr>
          <w:rFonts w:hint="eastAsia"/>
          <w:lang w:eastAsia="zh-CN"/>
        </w:rPr>
        <w:t>学术任职</w:t>
      </w:r>
      <w:bookmarkEnd w:id="7"/>
      <w:r>
        <w:rPr>
          <w:rFonts w:hint="eastAsia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outlineLvl w:val="9"/>
        <w:rPr>
          <w:rFonts w:hint="eastAsia" w:ascii="仿宋" w:hAnsi="仿宋" w:eastAsia="仿宋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color w:val="auto"/>
          <w:sz w:val="28"/>
          <w:szCs w:val="28"/>
          <w:lang w:val="en-US" w:eastAsia="zh-CN"/>
        </w:rPr>
        <w:t>（限填3项。担任国际性或全国性学术团体职务，将有关支撑材料扫描件粘贴在此。支撑材料顺序必须与申请博士研究生导师资格简况表一致。）</w:t>
      </w:r>
      <w:bookmarkStart w:id="8" w:name="_Toc498001339"/>
    </w:p>
    <w:p>
      <w:pPr>
        <w:pStyle w:val="3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425" w:leftChars="0" w:hanging="425" w:firstLineChars="0"/>
        <w:textAlignment w:val="auto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  <w:bookmarkStart w:id="9" w:name="_Toc8442_WPSOffice_Level2"/>
      <w:r>
        <w:rPr>
          <w:rFonts w:hint="eastAsia" w:ascii="宋体" w:hAnsi="宋体"/>
          <w:sz w:val="28"/>
          <w:szCs w:val="28"/>
          <w:lang w:eastAsia="zh-CN"/>
        </w:rPr>
        <w:t>任职证书名称：</w:t>
      </w:r>
      <w:bookmarkEnd w:id="8"/>
      <w:r>
        <w:rPr>
          <w:rFonts w:hint="eastAsia" w:ascii="宋体" w:hAnsi="宋体" w:eastAsia="宋体" w:cs="宋体"/>
          <w:b w:val="0"/>
          <w:bCs w:val="0"/>
          <w:color w:val="333333"/>
          <w:sz w:val="21"/>
          <w:szCs w:val="21"/>
          <w:shd w:val="clear" w:color="auto" w:fill="FFFFFF"/>
        </w:rPr>
        <w:t>中华中医药学会妇科分会常务委员</w:t>
      </w:r>
      <w:bookmarkEnd w:id="9"/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t xml:space="preserve"> </w:t>
      </w:r>
      <w:bookmarkStart w:id="10" w:name="_Toc498001340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8595" cy="4246245"/>
            <wp:effectExtent l="0" t="0" r="8255" b="1905"/>
            <wp:docPr id="4" name="图片 4" descr="中华中医药学会常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中华中医药学会常委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24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3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425" w:leftChars="0" w:hanging="425" w:firstLineChars="0"/>
        <w:textAlignment w:val="auto"/>
        <w:rPr>
          <w:rFonts w:hint="eastAsia" w:ascii="宋体" w:hAnsi="宋体"/>
          <w:sz w:val="28"/>
          <w:szCs w:val="28"/>
          <w:lang w:val="en-US" w:eastAsia="zh-CN"/>
        </w:rPr>
      </w:pPr>
      <w:bookmarkStart w:id="11" w:name="_Toc11104_WPSOffice_Level2"/>
      <w:r>
        <w:rPr>
          <w:rFonts w:hint="eastAsia" w:ascii="宋体" w:hAnsi="宋体"/>
          <w:sz w:val="28"/>
          <w:szCs w:val="28"/>
          <w:lang w:eastAsia="zh-CN"/>
        </w:rPr>
        <w:t>任职证书名称：</w:t>
      </w:r>
      <w:bookmarkEnd w:id="10"/>
      <w:r>
        <w:rPr>
          <w:rFonts w:hint="eastAsia" w:ascii="宋体" w:hAnsi="宋体" w:eastAsia="宋体" w:cs="宋体"/>
          <w:b w:val="0"/>
          <w:bCs w:val="0"/>
          <w:color w:val="333333"/>
          <w:sz w:val="21"/>
          <w:szCs w:val="21"/>
          <w:shd w:val="clear" w:color="auto" w:fill="FFFFFF"/>
          <w:lang w:val="en-US" w:eastAsia="zh-CN"/>
        </w:rPr>
        <w:t>中国中医药研究促进会中西医结合妇产与妇幼保健分会常务委员</w:t>
      </w:r>
      <w:bookmarkEnd w:id="11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5420" cy="6567170"/>
            <wp:effectExtent l="0" t="0" r="11430" b="5080"/>
            <wp:docPr id="5" name="图片 5" descr="促进会常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促进会常委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656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0" w:firstLineChars="0"/>
        <w:textAlignment w:val="auto"/>
        <w:rPr>
          <w:lang w:val="en-US"/>
        </w:rPr>
      </w:pPr>
      <w:bookmarkStart w:id="12" w:name="_Toc11104_WPSOffice_Level1"/>
      <w:r>
        <w:rPr>
          <w:rFonts w:hint="eastAsia"/>
        </w:rPr>
        <w:t>近五年主持的主要科研项目</w:t>
      </w:r>
      <w:bookmarkEnd w:id="12"/>
      <w:r>
        <w:rPr>
          <w:rFonts w:hint="eastAsia"/>
          <w:lang w:val="en-US" w:eastAsia="zh-CN"/>
        </w:rPr>
        <w:t xml:space="preserve"> </w:t>
      </w:r>
    </w:p>
    <w:p>
      <w:pPr>
        <w:pStyle w:val="3"/>
        <w:pageBreakBefore w:val="0"/>
        <w:numPr>
          <w:ilvl w:val="0"/>
          <w:numId w:val="4"/>
        </w:numPr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425" w:leftChars="0" w:hanging="425" w:firstLineChars="0"/>
        <w:textAlignment w:val="auto"/>
        <w:rPr>
          <w:rFonts w:hint="eastAsia" w:asciiTheme="majorEastAsia" w:hAnsiTheme="majorEastAsia" w:eastAsiaTheme="majorEastAsia" w:cstheme="majorEastAsia"/>
          <w:color w:val="auto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color w:val="auto"/>
          <w:sz w:val="28"/>
          <w:szCs w:val="28"/>
          <w:lang w:val="en-US" w:eastAsia="zh-CN"/>
        </w:rPr>
        <w:t>项目名称：</w:t>
      </w:r>
      <w:r>
        <w:rPr>
          <w:rFonts w:hint="eastAsia" w:ascii="宋体" w:eastAsia="宋体"/>
          <w:sz w:val="21"/>
          <w:szCs w:val="24"/>
        </w:rPr>
        <w:t xml:space="preserve"> 化痰通脉饮对PCOS的IRS-1-PI3K/AKT/NF-κB串流失控的调节效应研究</w:t>
      </w:r>
      <w:r>
        <w:rPr>
          <w:rFonts w:hint="eastAsia" w:ascii="宋体" w:eastAsia="宋体"/>
          <w:sz w:val="21"/>
          <w:szCs w:val="24"/>
          <w:lang w:eastAsia="zh-CN"/>
        </w:rPr>
        <w:t>（</w:t>
      </w:r>
      <w:r>
        <w:rPr>
          <w:rFonts w:ascii="宋体" w:hAnsi="宋体" w:eastAsia="宋体" w:cs="宋体"/>
          <w:sz w:val="18"/>
          <w:szCs w:val="18"/>
        </w:rPr>
        <w:t xml:space="preserve">81360555 </w:t>
      </w:r>
      <w:r>
        <w:rPr>
          <w:rFonts w:hint="eastAsia" w:ascii="宋体" w:eastAsia="宋体"/>
          <w:sz w:val="21"/>
          <w:szCs w:val="24"/>
          <w:lang w:eastAsia="zh-CN"/>
        </w:rPr>
        <w:t>）</w:t>
      </w:r>
    </w:p>
    <w:p>
      <w:pP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drawing>
          <wp:inline distT="0" distB="0" distL="114300" distR="114300">
            <wp:extent cx="5271770" cy="4510405"/>
            <wp:effectExtent l="0" t="0" r="5080" b="4445"/>
            <wp:docPr id="8" name="图片 8" descr="校级一流学科课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校级一流学科课题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51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drawing>
          <wp:inline distT="0" distB="0" distL="114300" distR="114300">
            <wp:extent cx="5268595" cy="5075555"/>
            <wp:effectExtent l="0" t="0" r="8255" b="10795"/>
            <wp:docPr id="7" name="图片 7" descr="林寒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林寒梅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07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</w:pPr>
    </w:p>
    <w:p>
      <w:pPr>
        <w:pStyle w:val="3"/>
        <w:pageBreakBefore w:val="0"/>
        <w:numPr>
          <w:ilvl w:val="0"/>
          <w:numId w:val="4"/>
        </w:numPr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425" w:leftChars="0" w:hanging="425" w:firstLineChars="0"/>
        <w:textAlignment w:val="auto"/>
        <w:rPr>
          <w:rFonts w:hint="eastAsia" w:asciiTheme="majorEastAsia" w:hAnsiTheme="majorEastAsia" w:eastAsiaTheme="majorEastAsia" w:cstheme="majorEastAsia"/>
          <w:color w:val="auto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color w:val="auto"/>
          <w:sz w:val="28"/>
          <w:szCs w:val="28"/>
          <w:lang w:val="en-US" w:eastAsia="zh-CN"/>
        </w:rPr>
        <w:t>项目名称：</w:t>
      </w:r>
      <w:r>
        <w:rPr>
          <w:rFonts w:hint="eastAsia" w:ascii="宋体" w:eastAsia="宋体"/>
          <w:sz w:val="21"/>
          <w:szCs w:val="24"/>
        </w:rPr>
        <w:fldChar w:fldCharType="begin"/>
      </w:r>
      <w:r>
        <w:rPr>
          <w:rFonts w:hint="eastAsia" w:ascii="宋体" w:eastAsia="宋体"/>
          <w:sz w:val="21"/>
          <w:szCs w:val="24"/>
        </w:rPr>
        <w:instrText xml:space="preserve"> HYPERLINK "http://172.16.162.45:8080/technic2/project.do?action=1&amp;project_id=2252" </w:instrText>
      </w:r>
      <w:r>
        <w:rPr>
          <w:rFonts w:hint="eastAsia" w:ascii="宋体" w:eastAsia="宋体"/>
          <w:sz w:val="21"/>
          <w:szCs w:val="24"/>
        </w:rPr>
        <w:fldChar w:fldCharType="separate"/>
      </w:r>
      <w:r>
        <w:rPr>
          <w:rFonts w:hint="eastAsia" w:ascii="宋体" w:eastAsia="宋体"/>
          <w:sz w:val="21"/>
          <w:szCs w:val="24"/>
        </w:rPr>
        <w:t>化痰通脉饮对多囊卵巢综合征胰岛素抵抗大鼠miRNA-93表达影响的研究</w:t>
      </w:r>
      <w:r>
        <w:rPr>
          <w:rFonts w:hint="eastAsia" w:ascii="宋体" w:eastAsia="宋体"/>
          <w:sz w:val="21"/>
          <w:szCs w:val="24"/>
        </w:rPr>
        <w:fldChar w:fldCharType="end"/>
      </w:r>
      <w:r>
        <w:rPr>
          <w:rFonts w:hint="eastAsia" w:ascii="宋体" w:eastAsia="宋体"/>
          <w:sz w:val="21"/>
          <w:szCs w:val="24"/>
          <w:lang w:eastAsia="zh-CN"/>
        </w:rPr>
        <w:t>（</w:t>
      </w:r>
      <w:r>
        <w:rPr>
          <w:rFonts w:ascii="宋体" w:hAnsi="宋体" w:eastAsia="宋体" w:cs="宋体"/>
          <w:sz w:val="18"/>
          <w:szCs w:val="18"/>
        </w:rPr>
        <w:t xml:space="preserve">2018XK078 </w:t>
      </w:r>
      <w:r>
        <w:rPr>
          <w:rFonts w:hint="eastAsia" w:ascii="宋体" w:eastAsia="宋体"/>
          <w:sz w:val="21"/>
          <w:szCs w:val="24"/>
          <w:lang w:eastAsia="zh-CN"/>
        </w:rPr>
        <w:t>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0500" cy="5268595"/>
            <wp:effectExtent l="0" t="0" r="6350" b="8255"/>
            <wp:docPr id="10" name="图片 10" descr="校级一流学科经费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校级一流学科经费本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3"/>
        <w:pageBreakBefore w:val="0"/>
        <w:numPr>
          <w:ilvl w:val="0"/>
          <w:numId w:val="4"/>
        </w:numPr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425" w:leftChars="0" w:hanging="425" w:firstLineChars="0"/>
        <w:textAlignment w:val="auto"/>
        <w:rPr>
          <w:rFonts w:hint="eastAsia" w:asciiTheme="majorEastAsia" w:hAnsiTheme="majorEastAsia" w:eastAsiaTheme="majorEastAsia" w:cstheme="majorEastAsia"/>
          <w:color w:val="auto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color w:val="auto"/>
          <w:sz w:val="28"/>
          <w:szCs w:val="28"/>
          <w:lang w:val="en-US" w:eastAsia="zh-CN"/>
        </w:rPr>
        <w:t>项目名称：</w:t>
      </w:r>
      <w:r>
        <w:rPr>
          <w:rFonts w:hint="eastAsia" w:ascii="宋体" w:eastAsia="宋体"/>
          <w:sz w:val="21"/>
          <w:szCs w:val="24"/>
          <w:lang w:val="en-US" w:eastAsia="zh-CN"/>
        </w:rPr>
        <w:t>广西中医药大学第一附属医院陈慧侬学术团队建设</w:t>
      </w:r>
    </w:p>
    <w:p>
      <w:pPr>
        <w:pStyle w:val="3"/>
        <w:pageBreakBefore w:val="0"/>
        <w:numPr>
          <w:ilvl w:val="0"/>
          <w:numId w:val="0"/>
        </w:numPr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Chars="0"/>
        <w:textAlignment w:val="auto"/>
        <w:rPr>
          <w:rFonts w:hint="eastAsia" w:asciiTheme="majorEastAsia" w:hAnsiTheme="majorEastAsia" w:eastAsiaTheme="majorEastAsia" w:cstheme="majorEastAsia"/>
          <w:color w:val="auto"/>
          <w:sz w:val="28"/>
          <w:szCs w:val="28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71135" cy="7555865"/>
            <wp:effectExtent l="0" t="0" r="5715" b="6985"/>
            <wp:docPr id="8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5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pP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</w:pPr>
      <w:r>
        <w:drawing>
          <wp:inline distT="0" distB="0" distL="114300" distR="114300">
            <wp:extent cx="5269230" cy="7443470"/>
            <wp:effectExtent l="0" t="0" r="7620" b="5080"/>
            <wp:docPr id="8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68595" cy="7452360"/>
            <wp:effectExtent l="0" t="0" r="8255" b="15240"/>
            <wp:docPr id="98" name="图片 98" descr="2e7144f38ad03c0e9fd82167db564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2e7144f38ad03c0e9fd82167db564ab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</w:pPr>
    </w:p>
    <w:p>
      <w:pPr>
        <w:numPr>
          <w:ilvl w:val="0"/>
          <w:numId w:val="0"/>
        </w:numPr>
        <w:ind w:leftChars="0"/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</w:pPr>
    </w:p>
    <w:p>
      <w:pPr>
        <w:numPr>
          <w:ilvl w:val="0"/>
          <w:numId w:val="0"/>
        </w:numPr>
        <w:ind w:leftChars="0"/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</w:pPr>
    </w:p>
    <w:p>
      <w:pPr>
        <w:numPr>
          <w:ilvl w:val="0"/>
          <w:numId w:val="4"/>
        </w:numPr>
        <w:ind w:left="425" w:leftChars="0" w:hanging="425" w:firstLineChars="0"/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>项目名称：</w:t>
      </w:r>
      <w:r>
        <w:rPr>
          <w:rFonts w:hint="eastAsia" w:cstheme="minorBidi"/>
          <w:b/>
          <w:bCs/>
          <w:kern w:val="2"/>
          <w:sz w:val="28"/>
          <w:szCs w:val="28"/>
          <w:lang w:val="en-US" w:eastAsia="zh-CN" w:bidi="ar-SA"/>
        </w:rPr>
        <w:t>全国名老中医药专家传承工作室（班秀文）</w:t>
      </w:r>
    </w:p>
    <w:p>
      <w:pPr>
        <w:widowControl w:val="0"/>
        <w:numPr>
          <w:ilvl w:val="0"/>
          <w:numId w:val="0"/>
        </w:numPr>
        <w:jc w:val="both"/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8595" cy="4451985"/>
            <wp:effectExtent l="0" t="0" r="8255" b="5715"/>
            <wp:docPr id="80" name="图片 80" descr="e7d6652f902daa33ab91f0590a55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e7d6652f902daa33ab91f0590a55671"/>
                    <pic:cNvPicPr>
                      <a:picLocks noChangeAspect="1"/>
                    </pic:cNvPicPr>
                  </pic:nvPicPr>
                  <pic:blipFill>
                    <a:blip r:embed="rId26"/>
                    <a:srcRect t="15082" b="368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4"/>
        </w:numPr>
        <w:ind w:left="425" w:leftChars="0" w:hanging="425" w:firstLineChars="0"/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>项目名称：</w:t>
      </w:r>
      <w:r>
        <w:rPr>
          <w:rFonts w:hint="eastAsia" w:cstheme="minorBidi"/>
          <w:b/>
          <w:bCs/>
          <w:kern w:val="2"/>
          <w:sz w:val="28"/>
          <w:szCs w:val="28"/>
          <w:lang w:val="en-US" w:eastAsia="zh-CN" w:bidi="ar-SA"/>
        </w:rPr>
        <w:t>全国名老中医药专家传承工作室建设项目（陈慧侬）</w:t>
      </w:r>
    </w:p>
    <w:p>
      <w:pPr>
        <w:numPr>
          <w:ilvl w:val="0"/>
          <w:numId w:val="0"/>
        </w:numPr>
        <w:ind w:leftChars="0"/>
        <w:rPr>
          <w:rFonts w:hint="default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8"/>
          <w:szCs w:val="28"/>
          <w:lang w:val="en-US" w:eastAsia="zh-CN" w:bidi="ar-SA"/>
        </w:rPr>
        <w:t xml:space="preserve">             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8595" cy="4909185"/>
            <wp:effectExtent l="0" t="0" r="8255" b="5715"/>
            <wp:docPr id="99" name="图片 99" descr="bd286005f1d8d8fa1684610351e74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 descr="bd286005f1d8d8fa1684610351e742b"/>
                    <pic:cNvPicPr>
                      <a:picLocks noChangeAspect="1"/>
                    </pic:cNvPicPr>
                  </pic:nvPicPr>
                  <pic:blipFill>
                    <a:blip r:embed="rId27"/>
                    <a:srcRect t="23390" b="2326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90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0" w:firstLineChars="0"/>
        <w:textAlignment w:val="auto"/>
        <w:rPr>
          <w:rFonts w:hint="eastAsia"/>
          <w:lang w:val="en-US"/>
        </w:rPr>
      </w:pPr>
      <w:bookmarkStart w:id="13" w:name="_Toc31402_WPSOffice_Level1"/>
      <w:r>
        <w:rPr>
          <w:rFonts w:hint="eastAsia"/>
        </w:rPr>
        <w:t>近五年发表出版的代表性学术论文、学术著作、教材</w:t>
      </w:r>
      <w:bookmarkEnd w:id="13"/>
      <w:r>
        <w:rPr>
          <w:rFonts w:hint="eastAsia"/>
          <w:lang w:val="en-US" w:eastAsia="zh-CN"/>
        </w:rPr>
        <w:t xml:space="preserve"> </w:t>
      </w:r>
    </w:p>
    <w:p>
      <w:pPr>
        <w:pStyle w:val="3"/>
        <w:pageBreakBefore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425" w:leftChars="0" w:hanging="425" w:firstLineChars="0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bookmarkStart w:id="14" w:name="_Toc31402_WPSOffice_Level2"/>
      <w:r>
        <w:rPr>
          <w:rFonts w:hint="eastAsia"/>
          <w:b/>
          <w:bCs/>
          <w:sz w:val="28"/>
          <w:szCs w:val="28"/>
          <w:lang w:val="en-US" w:eastAsia="zh-CN"/>
        </w:rPr>
        <w:t>学术论文、学术著作、教材：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Times New Roman" w:hAnsi="Times New Roman" w:eastAsia="AdvTT5235d5a9" w:cs="Times New Roman"/>
          <w:color w:val="231F20"/>
          <w:kern w:val="0"/>
          <w:sz w:val="26"/>
          <w:szCs w:val="26"/>
          <w:lang w:val="en-US" w:eastAsia="zh-CN" w:bidi="ar"/>
        </w:rPr>
      </w:pPr>
      <w:r>
        <w:rPr>
          <w:rFonts w:hint="eastAsia" w:ascii="Times New Roman" w:hAnsi="Times New Roman" w:eastAsia="AdvTT5235d5a9" w:cs="Times New Roman"/>
          <w:color w:val="231F20"/>
          <w:kern w:val="0"/>
          <w:sz w:val="26"/>
          <w:szCs w:val="26"/>
          <w:lang w:val="en-US" w:eastAsia="zh-CN" w:bidi="ar"/>
        </w:rPr>
        <w:t xml:space="preserve">Dynamic Analysis of the Biochemical Changes in Rats with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Times New Roman" w:hAnsi="Times New Roman" w:eastAsia="AdvTT5235d5a9" w:cs="Times New Roman"/>
          <w:color w:val="231F20"/>
          <w:kern w:val="0"/>
          <w:sz w:val="26"/>
          <w:szCs w:val="26"/>
          <w:lang w:val="en-US" w:eastAsia="zh-CN" w:bidi="ar"/>
        </w:rPr>
      </w:pPr>
      <w:r>
        <w:rPr>
          <w:rFonts w:hint="eastAsia" w:ascii="Times New Roman" w:hAnsi="Times New Roman" w:eastAsia="AdvTT5235d5a9" w:cs="Times New Roman"/>
          <w:color w:val="231F20"/>
          <w:kern w:val="0"/>
          <w:sz w:val="26"/>
          <w:szCs w:val="26"/>
          <w:lang w:val="en-US" w:eastAsia="zh-CN" w:bidi="ar"/>
        </w:rPr>
        <w:t xml:space="preserve">Polycystic Ovary Syndrome (PCOS) Using Urinary 1H NMR-Based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Times New Roman" w:hAnsi="Times New Roman" w:eastAsia="AdvTT5235d5a9" w:cs="Times New Roman"/>
          <w:color w:val="231F20"/>
          <w:kern w:val="0"/>
          <w:sz w:val="26"/>
          <w:szCs w:val="26"/>
          <w:lang w:val="en-US" w:eastAsia="zh-CN" w:bidi="ar"/>
        </w:rPr>
      </w:pPr>
      <w:r>
        <w:rPr>
          <w:rFonts w:hint="eastAsia" w:ascii="Times New Roman" w:hAnsi="Times New Roman" w:eastAsia="AdvTT5235d5a9" w:cs="Times New Roman"/>
          <w:color w:val="231F20"/>
          <w:kern w:val="0"/>
          <w:sz w:val="26"/>
          <w:szCs w:val="26"/>
          <w:lang w:val="en-US" w:eastAsia="zh-CN" w:bidi="ar"/>
        </w:rPr>
        <w:t>Metabonomics</w:t>
      </w: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7325" cy="6642735"/>
            <wp:effectExtent l="0" t="0" r="9525" b="5715"/>
            <wp:docPr id="112" name="图片 112" descr="SCI-基于尿1h NMR代谢组学对多囊卵巢综合征大鼠血液生化变化的动态分析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SCI-基于尿1h NMR代谢组学对多囊卵巢综合征大鼠血液生化变化的动态分析_0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64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8595" cy="7566660"/>
            <wp:effectExtent l="0" t="0" r="8255" b="15240"/>
            <wp:docPr id="113" name="图片 113" descr="微主任，SCI_2020101119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 descr="微主任，SCI_2020101119204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56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425" w:leftChars="0" w:hanging="425" w:firstLineChars="0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学术论文、学术著作、教材：</w:t>
      </w:r>
      <w:bookmarkEnd w:id="14"/>
    </w:p>
    <w:p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AdvTT5235d5a9" w:cs="Times New Roman"/>
          <w:color w:val="231F20"/>
          <w:kern w:val="0"/>
          <w:sz w:val="26"/>
          <w:szCs w:val="26"/>
          <w:lang w:val="en-US" w:eastAsia="zh-CN" w:bidi="ar"/>
        </w:rPr>
      </w:pPr>
      <w:r>
        <w:rPr>
          <w:rFonts w:hint="default" w:ascii="Times New Roman" w:hAnsi="Times New Roman" w:eastAsia="AdvTT5235d5a9" w:cs="Times New Roman"/>
          <w:color w:val="231F20"/>
          <w:kern w:val="0"/>
          <w:sz w:val="26"/>
          <w:szCs w:val="26"/>
          <w:lang w:val="en-US" w:eastAsia="zh-CN" w:bidi="ar"/>
        </w:rPr>
        <w:t>Metabolomic</w:t>
      </w:r>
      <w:r>
        <w:rPr>
          <w:rFonts w:hint="eastAsia" w:ascii="Times New Roman" w:hAnsi="Times New Roman" w:eastAsia="AdvTT5235d5a9" w:cs="Times New Roman"/>
          <w:color w:val="231F20"/>
          <w:kern w:val="0"/>
          <w:sz w:val="26"/>
          <w:szCs w:val="26"/>
          <w:lang w:val="en-US" w:eastAsia="zh-CN" w:bidi="ar"/>
        </w:rPr>
        <w:t xml:space="preserve"> </w:t>
      </w:r>
      <w:r>
        <w:rPr>
          <w:rFonts w:hint="default" w:ascii="Times New Roman" w:hAnsi="Times New Roman" w:eastAsia="AdvTT5235d5a9" w:cs="Times New Roman"/>
          <w:color w:val="231F20"/>
          <w:kern w:val="0"/>
          <w:sz w:val="26"/>
          <w:szCs w:val="26"/>
          <w:lang w:val="en-US" w:eastAsia="zh-CN" w:bidi="ar"/>
        </w:rPr>
        <w:t>study</w:t>
      </w:r>
      <w:r>
        <w:rPr>
          <w:rFonts w:hint="eastAsia" w:ascii="Times New Roman" w:hAnsi="Times New Roman" w:eastAsia="AdvTT5235d5a9" w:cs="Times New Roman"/>
          <w:color w:val="231F20"/>
          <w:kern w:val="0"/>
          <w:sz w:val="26"/>
          <w:szCs w:val="26"/>
          <w:lang w:val="en-US" w:eastAsia="zh-CN" w:bidi="ar"/>
        </w:rPr>
        <w:t xml:space="preserve"> </w:t>
      </w:r>
      <w:r>
        <w:rPr>
          <w:rFonts w:hint="default" w:ascii="Times New Roman" w:hAnsi="Times New Roman" w:eastAsia="AdvTT5235d5a9" w:cs="Times New Roman"/>
          <w:color w:val="231F20"/>
          <w:kern w:val="0"/>
          <w:sz w:val="26"/>
          <w:szCs w:val="26"/>
          <w:lang w:val="en-US" w:eastAsia="zh-CN" w:bidi="ar"/>
        </w:rPr>
        <w:t>of</w:t>
      </w:r>
      <w:r>
        <w:rPr>
          <w:rFonts w:hint="eastAsia" w:ascii="Times New Roman" w:hAnsi="Times New Roman" w:eastAsia="AdvTT5235d5a9" w:cs="Times New Roman"/>
          <w:color w:val="231F20"/>
          <w:kern w:val="0"/>
          <w:sz w:val="26"/>
          <w:szCs w:val="26"/>
          <w:lang w:val="en-US" w:eastAsia="zh-CN" w:bidi="ar"/>
        </w:rPr>
        <w:t xml:space="preserve"> </w:t>
      </w:r>
      <w:r>
        <w:rPr>
          <w:rFonts w:hint="default" w:ascii="Times New Roman" w:hAnsi="Times New Roman" w:eastAsia="AdvTT5235d5a9" w:cs="Times New Roman"/>
          <w:color w:val="231F20"/>
          <w:kern w:val="0"/>
          <w:sz w:val="26"/>
          <w:szCs w:val="26"/>
          <w:lang w:val="en-US" w:eastAsia="zh-CN" w:bidi="ar"/>
        </w:rPr>
        <w:t>natrin-induced</w:t>
      </w:r>
      <w:r>
        <w:rPr>
          <w:rFonts w:hint="eastAsia" w:ascii="Times New Roman" w:hAnsi="Times New Roman" w:eastAsia="AdvTT5235d5a9" w:cs="Times New Roman"/>
          <w:color w:val="231F20"/>
          <w:kern w:val="0"/>
          <w:sz w:val="26"/>
          <w:szCs w:val="26"/>
          <w:lang w:val="en-US" w:eastAsia="zh-CN" w:bidi="ar"/>
        </w:rPr>
        <w:t xml:space="preserve"> </w:t>
      </w:r>
      <w:r>
        <w:rPr>
          <w:rFonts w:hint="default" w:ascii="Times New Roman" w:hAnsi="Times New Roman" w:eastAsia="AdvTT5235d5a9" w:cs="Times New Roman"/>
          <w:color w:val="231F20"/>
          <w:kern w:val="0"/>
          <w:sz w:val="26"/>
          <w:szCs w:val="26"/>
          <w:lang w:val="en-US" w:eastAsia="zh-CN" w:bidi="ar"/>
        </w:rPr>
        <w:t>apoptosis</w:t>
      </w:r>
      <w:r>
        <w:rPr>
          <w:rFonts w:hint="eastAsia" w:ascii="Times New Roman" w:hAnsi="Times New Roman" w:eastAsia="AdvTT5235d5a9" w:cs="Times New Roman"/>
          <w:color w:val="231F20"/>
          <w:kern w:val="0"/>
          <w:sz w:val="26"/>
          <w:szCs w:val="26"/>
          <w:lang w:val="en-US" w:eastAsia="zh-CN" w:bidi="ar"/>
        </w:rPr>
        <w:t xml:space="preserve"> </w:t>
      </w:r>
      <w:r>
        <w:rPr>
          <w:rFonts w:hint="default" w:ascii="Times New Roman" w:hAnsi="Times New Roman" w:eastAsia="AdvTT5235d5a9" w:cs="Times New Roman"/>
          <w:color w:val="231F20"/>
          <w:kern w:val="0"/>
          <w:sz w:val="26"/>
          <w:szCs w:val="26"/>
          <w:lang w:val="en-US" w:eastAsia="zh-CN" w:bidi="ar"/>
        </w:rPr>
        <w:t>in</w:t>
      </w:r>
      <w:r>
        <w:rPr>
          <w:rFonts w:hint="eastAsia" w:ascii="Times New Roman" w:hAnsi="Times New Roman" w:eastAsia="AdvTT5235d5a9" w:cs="Times New Roman"/>
          <w:color w:val="231F20"/>
          <w:kern w:val="0"/>
          <w:sz w:val="26"/>
          <w:szCs w:val="26"/>
          <w:lang w:val="en-US" w:eastAsia="zh-CN" w:bidi="ar"/>
        </w:rPr>
        <w:t xml:space="preserve"> </w:t>
      </w:r>
      <w:r>
        <w:rPr>
          <w:rFonts w:hint="default" w:ascii="Times New Roman" w:hAnsi="Times New Roman" w:eastAsia="AdvTT5235d5a9" w:cs="Times New Roman"/>
          <w:color w:val="231F20"/>
          <w:kern w:val="0"/>
          <w:sz w:val="26"/>
          <w:szCs w:val="26"/>
          <w:lang w:val="en-US" w:eastAsia="zh-CN" w:bidi="ar"/>
        </w:rPr>
        <w:t>SMMC-7721Hepatocellular</w:t>
      </w:r>
      <w:r>
        <w:rPr>
          <w:rFonts w:hint="eastAsia" w:ascii="Times New Roman" w:hAnsi="Times New Roman" w:eastAsia="AdvTT5235d5a9" w:cs="Times New Roman"/>
          <w:color w:val="231F20"/>
          <w:kern w:val="0"/>
          <w:sz w:val="26"/>
          <w:szCs w:val="26"/>
          <w:lang w:val="en-US" w:eastAsia="zh-CN" w:bidi="ar"/>
        </w:rPr>
        <w:t xml:space="preserve"> </w:t>
      </w:r>
      <w:r>
        <w:rPr>
          <w:rFonts w:hint="default" w:ascii="Times New Roman" w:hAnsi="Times New Roman" w:eastAsia="AdvTT5235d5a9" w:cs="Times New Roman"/>
          <w:color w:val="231F20"/>
          <w:kern w:val="0"/>
          <w:sz w:val="26"/>
          <w:szCs w:val="26"/>
          <w:lang w:val="en-US" w:eastAsia="zh-CN" w:bidi="ar"/>
        </w:rPr>
        <w:t>carcinoma</w:t>
      </w:r>
      <w:r>
        <w:rPr>
          <w:rFonts w:hint="eastAsia" w:ascii="Times New Roman" w:hAnsi="Times New Roman" w:eastAsia="AdvTT5235d5a9" w:cs="Times New Roman"/>
          <w:color w:val="231F20"/>
          <w:kern w:val="0"/>
          <w:sz w:val="26"/>
          <w:szCs w:val="26"/>
          <w:lang w:val="en-US" w:eastAsia="zh-CN" w:bidi="ar"/>
        </w:rPr>
        <w:t xml:space="preserve"> </w:t>
      </w:r>
      <w:r>
        <w:rPr>
          <w:rFonts w:hint="default" w:ascii="Times New Roman" w:hAnsi="Times New Roman" w:eastAsia="AdvTT5235d5a9" w:cs="Times New Roman"/>
          <w:color w:val="231F20"/>
          <w:kern w:val="0"/>
          <w:sz w:val="26"/>
          <w:szCs w:val="26"/>
          <w:lang w:val="en-US" w:eastAsia="zh-CN" w:bidi="ar"/>
        </w:rPr>
        <w:t>cells</w:t>
      </w:r>
      <w:r>
        <w:rPr>
          <w:rFonts w:hint="eastAsia" w:ascii="Times New Roman" w:hAnsi="Times New Roman" w:eastAsia="AdvTT5235d5a9" w:cs="Times New Roman"/>
          <w:color w:val="231F20"/>
          <w:kern w:val="0"/>
          <w:sz w:val="26"/>
          <w:szCs w:val="26"/>
          <w:lang w:val="en-US" w:eastAsia="zh-CN" w:bidi="ar"/>
        </w:rPr>
        <w:t xml:space="preserve"> </w:t>
      </w:r>
      <w:r>
        <w:rPr>
          <w:rFonts w:hint="default" w:ascii="Times New Roman" w:hAnsi="Times New Roman" w:eastAsia="AdvTT5235d5a9" w:cs="Times New Roman"/>
          <w:color w:val="231F20"/>
          <w:kern w:val="0"/>
          <w:sz w:val="26"/>
          <w:szCs w:val="26"/>
          <w:lang w:val="en-US" w:eastAsia="zh-CN" w:bidi="ar"/>
        </w:rPr>
        <w:t>by</w:t>
      </w:r>
      <w:r>
        <w:rPr>
          <w:rFonts w:hint="eastAsia" w:ascii="Times New Roman" w:hAnsi="Times New Roman" w:eastAsia="AdvTT5235d5a9" w:cs="Times New Roman"/>
          <w:color w:val="231F20"/>
          <w:kern w:val="0"/>
          <w:sz w:val="26"/>
          <w:szCs w:val="26"/>
          <w:lang w:val="en-US" w:eastAsia="zh-CN" w:bidi="ar"/>
        </w:rPr>
        <w:t xml:space="preserve"> </w:t>
      </w:r>
      <w:r>
        <w:rPr>
          <w:rFonts w:hint="default" w:ascii="Times New Roman" w:hAnsi="Times New Roman" w:eastAsia="AdvTT5235d5a9" w:cs="Times New Roman"/>
          <w:color w:val="231F20"/>
          <w:kern w:val="0"/>
          <w:sz w:val="26"/>
          <w:szCs w:val="26"/>
          <w:lang w:val="en-US" w:eastAsia="zh-CN" w:bidi="ar"/>
        </w:rPr>
        <w:t>ultra-performance</w:t>
      </w:r>
      <w:r>
        <w:rPr>
          <w:rFonts w:hint="eastAsia" w:ascii="Times New Roman" w:hAnsi="Times New Roman" w:eastAsia="AdvTT5235d5a9" w:cs="Times New Roman"/>
          <w:color w:val="231F20"/>
          <w:kern w:val="0"/>
          <w:sz w:val="26"/>
          <w:szCs w:val="26"/>
          <w:lang w:val="en-US" w:eastAsia="zh-CN" w:bidi="ar"/>
        </w:rPr>
        <w:t xml:space="preserve"> </w:t>
      </w:r>
      <w:r>
        <w:rPr>
          <w:rFonts w:hint="default" w:ascii="Times New Roman" w:hAnsi="Times New Roman" w:eastAsia="AdvTT5235d5a9" w:cs="Times New Roman"/>
          <w:color w:val="231F20"/>
          <w:kern w:val="0"/>
          <w:sz w:val="26"/>
          <w:szCs w:val="26"/>
          <w:lang w:val="en-US" w:eastAsia="zh-CN" w:bidi="ar"/>
        </w:rPr>
        <w:t>liquid</w:t>
      </w:r>
      <w:r>
        <w:rPr>
          <w:rFonts w:hint="eastAsia" w:ascii="Times New Roman" w:hAnsi="Times New Roman" w:eastAsia="AdvTT5235d5a9" w:cs="Times New Roman"/>
          <w:color w:val="231F20"/>
          <w:kern w:val="0"/>
          <w:sz w:val="26"/>
          <w:szCs w:val="26"/>
          <w:lang w:val="en-US" w:eastAsia="zh-CN" w:bidi="ar"/>
        </w:rPr>
        <w:t xml:space="preserve"> </w:t>
      </w:r>
      <w:r>
        <w:rPr>
          <w:rFonts w:hint="default" w:ascii="Times New Roman" w:hAnsi="Times New Roman" w:eastAsia="AdvTT5235d5a9" w:cs="Times New Roman"/>
          <w:color w:val="231F20"/>
          <w:kern w:val="0"/>
          <w:sz w:val="26"/>
          <w:szCs w:val="26"/>
          <w:lang w:val="en-US" w:eastAsia="zh-CN" w:bidi="ar"/>
        </w:rPr>
        <w:t>chromatography-quadrupole/time-of-</w:t>
      </w:r>
      <w:r>
        <w:rPr>
          <w:rFonts w:hint="eastAsia" w:ascii="Times New Roman" w:hAnsi="Times New Roman" w:eastAsia="AdvTT5235d5a9+fb" w:cs="Times New Roman"/>
          <w:color w:val="231F20"/>
          <w:kern w:val="0"/>
          <w:sz w:val="26"/>
          <w:szCs w:val="26"/>
          <w:lang w:val="en-US" w:eastAsia="zh-CN" w:bidi="ar"/>
        </w:rPr>
        <w:t>f</w:t>
      </w:r>
      <w:r>
        <w:rPr>
          <w:rFonts w:hint="default" w:ascii="Times New Roman" w:hAnsi="Times New Roman" w:eastAsia="AdvTT5235d5a9" w:cs="Times New Roman"/>
          <w:color w:val="231F20"/>
          <w:kern w:val="0"/>
          <w:sz w:val="26"/>
          <w:szCs w:val="26"/>
          <w:lang w:val="en-US" w:eastAsia="zh-CN" w:bidi="ar"/>
        </w:rPr>
        <w:t>ightmass</w:t>
      </w:r>
      <w:r>
        <w:rPr>
          <w:rFonts w:hint="eastAsia" w:ascii="Times New Roman" w:hAnsi="Times New Roman" w:eastAsia="AdvTT5235d5a9" w:cs="Times New Roman"/>
          <w:color w:val="231F20"/>
          <w:kern w:val="0"/>
          <w:sz w:val="26"/>
          <w:szCs w:val="26"/>
          <w:lang w:val="en-US" w:eastAsia="zh-CN" w:bidi="ar"/>
        </w:rPr>
        <w:t xml:space="preserve"> </w:t>
      </w:r>
      <w:r>
        <w:rPr>
          <w:rFonts w:hint="default" w:ascii="Times New Roman" w:hAnsi="Times New Roman" w:eastAsia="AdvTT5235d5a9" w:cs="Times New Roman"/>
          <w:color w:val="231F20"/>
          <w:kern w:val="0"/>
          <w:sz w:val="26"/>
          <w:szCs w:val="26"/>
          <w:lang w:val="en-US" w:eastAsia="zh-CN" w:bidi="ar"/>
        </w:rPr>
        <w:t>sectrometry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802505" cy="6403340"/>
            <wp:effectExtent l="0" t="0" r="17145" b="16510"/>
            <wp:docPr id="9" name="图片 9" descr="SCI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CI-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02505" cy="640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4310" cy="7467600"/>
            <wp:effectExtent l="0" t="0" r="2540" b="0"/>
            <wp:docPr id="32" name="图片 32" descr="80d4a5acde07b4212bebc057e8f6a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80d4a5acde07b4212bebc057e8f6a3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3"/>
        <w:pageBreakBefore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425" w:leftChars="0" w:hanging="425" w:firstLineChars="0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bookmarkStart w:id="15" w:name="_Toc18635_WPSOffice_Level2"/>
      <w:r>
        <w:rPr>
          <w:rFonts w:hint="eastAsia"/>
          <w:b/>
          <w:bCs/>
          <w:sz w:val="28"/>
          <w:szCs w:val="28"/>
          <w:lang w:val="en-US" w:eastAsia="zh-CN"/>
        </w:rPr>
        <w:t>学术论文、学术著作、教材：</w:t>
      </w:r>
      <w:bookmarkEnd w:id="15"/>
    </w:p>
    <w:p>
      <w:pPr>
        <w:jc w:val="both"/>
        <w:rPr>
          <w:rFonts w:hint="eastAsia" w:ascii="宋体" w:eastAsia="宋体"/>
          <w:sz w:val="21"/>
          <w:szCs w:val="24"/>
        </w:rPr>
      </w:pPr>
      <w:r>
        <w:rPr>
          <w:rFonts w:hint="eastAsia" w:ascii="宋体" w:eastAsia="宋体"/>
          <w:sz w:val="21"/>
          <w:szCs w:val="24"/>
        </w:rPr>
        <w:t>基于网络药理学的化痰通脉饮“半夏-当归”药对抗多囊卵巢综合征作用机制的研究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135" cy="7047865"/>
            <wp:effectExtent l="0" t="0" r="5715" b="635"/>
            <wp:docPr id="25" name="图片 2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4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3040" cy="7004050"/>
            <wp:effectExtent l="0" t="0" r="3810" b="6350"/>
            <wp:docPr id="26" name="图片 2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0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770" cy="7263765"/>
            <wp:effectExtent l="0" t="0" r="5080" b="13335"/>
            <wp:docPr id="27" name="图片 27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00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26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3"/>
        <w:pageBreakBefore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425" w:leftChars="0" w:hanging="425" w:firstLineChars="0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bookmarkStart w:id="16" w:name="_Toc21531_WPSOffice_Level2"/>
      <w:r>
        <w:rPr>
          <w:rFonts w:hint="eastAsia"/>
          <w:b/>
          <w:bCs/>
          <w:sz w:val="28"/>
          <w:szCs w:val="28"/>
          <w:lang w:val="en-US" w:eastAsia="zh-CN"/>
        </w:rPr>
        <w:t>学术论文、学术著作、教材：</w:t>
      </w:r>
      <w:bookmarkEnd w:id="16"/>
    </w:p>
    <w:p>
      <w:pPr>
        <w:jc w:val="both"/>
        <w:rPr>
          <w:rFonts w:hint="eastAsia" w:ascii="宋体" w:eastAsia="宋体"/>
          <w:sz w:val="21"/>
          <w:szCs w:val="24"/>
        </w:rPr>
      </w:pPr>
      <w:r>
        <w:rPr>
          <w:rFonts w:hint="eastAsia" w:ascii="宋体" w:eastAsia="宋体"/>
          <w:sz w:val="21"/>
          <w:szCs w:val="24"/>
        </w:rPr>
        <w:t>化痰通脉饮对多囊卵巢综合征大鼠IRS-1-PI3K/Akt及NF-κB信号串流的影响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154295" cy="7287260"/>
            <wp:effectExtent l="0" t="0" r="8255" b="8890"/>
            <wp:docPr id="33" name="图片 33" descr="bd2326f61cd50d0d35b1a0045b77d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bd2326f61cd50d0d35b1a0045b77d4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54295" cy="728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547360" cy="7346950"/>
            <wp:effectExtent l="0" t="0" r="15240" b="6350"/>
            <wp:docPr id="35" name="图片 35" descr="2a8c771dec250af789a3baf1ebac2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a8c771dec250af789a3baf1ebac2e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47360" cy="734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7960" cy="7197725"/>
            <wp:effectExtent l="0" t="0" r="8890" b="3175"/>
            <wp:docPr id="36" name="图片 36" descr="157080409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570804097(1)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19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3"/>
        <w:pageBreakBefore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425" w:leftChars="0" w:hanging="425" w:firstLineChars="0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bookmarkStart w:id="17" w:name="_Toc5121_WPSOffice_Level2"/>
      <w:r>
        <w:rPr>
          <w:rFonts w:hint="eastAsia"/>
          <w:b/>
          <w:bCs/>
          <w:sz w:val="28"/>
          <w:szCs w:val="28"/>
          <w:lang w:val="en-US" w:eastAsia="zh-CN"/>
        </w:rPr>
        <w:t>学术论文、学术著作、教材：</w:t>
      </w:r>
      <w:bookmarkEnd w:id="17"/>
    </w:p>
    <w:p>
      <w:pPr>
        <w:pStyle w:val="3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eastAsia="宋体"/>
          <w:b w:val="0"/>
          <w:bCs w:val="0"/>
          <w:sz w:val="21"/>
          <w:szCs w:val="24"/>
        </w:rPr>
        <w:t>化痰通脉饮联合二甲双胍治疗肥胖型多囊卵巢综合征的临床研究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01285" cy="7082790"/>
            <wp:effectExtent l="0" t="0" r="18415" b="3810"/>
            <wp:docPr id="40" name="图片 40" descr="157080292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1570802925(1)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01285" cy="708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190490" cy="6969760"/>
            <wp:effectExtent l="0" t="0" r="10160" b="2540"/>
            <wp:docPr id="41" name="图片 41" descr="157080301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1570803015(1)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190490" cy="696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dvTT5235d5a9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dvTT5235d5a9+fb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8BD29AE"/>
    <w:multiLevelType w:val="singleLevel"/>
    <w:tmpl w:val="88BD29AE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C8CF232D"/>
    <w:multiLevelType w:val="singleLevel"/>
    <w:tmpl w:val="C8CF232D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D4F1C8D4"/>
    <w:multiLevelType w:val="singleLevel"/>
    <w:tmpl w:val="D4F1C8D4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5A97D09B"/>
    <w:multiLevelType w:val="singleLevel"/>
    <w:tmpl w:val="5A97D09B"/>
    <w:lvl w:ilvl="0" w:tentative="0">
      <w:start w:val="2"/>
      <w:numFmt w:val="chineseCounting"/>
      <w:suff w:val="nothing"/>
      <w:lvlText w:val="%1、"/>
      <w:lvlJc w:val="left"/>
    </w:lvl>
  </w:abstractNum>
  <w:abstractNum w:abstractNumId="4">
    <w:nsid w:val="6BE980A7"/>
    <w:multiLevelType w:val="singleLevel"/>
    <w:tmpl w:val="6BE980A7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F2B2467"/>
    <w:rsid w:val="794302D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3">
    <w:name w:val="heading 3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2" Type="http://schemas.openxmlformats.org/officeDocument/2006/relationships/fontTable" Target="fontTable.xml"/><Relationship Id="rId41" Type="http://schemas.openxmlformats.org/officeDocument/2006/relationships/numbering" Target="numbering.xml"/><Relationship Id="rId40" Type="http://schemas.openxmlformats.org/officeDocument/2006/relationships/customXml" Target="../customXml/item1.xml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jpe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pn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2020-10-30T01:18:15Z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