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48ED0">
      <w:pPr>
        <w:pStyle w:val="13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国际教育学院外国留学生奖学金评比方案</w:t>
      </w:r>
    </w:p>
    <w:p w14:paraId="35B90B14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奖学金种类及金额</w:t>
      </w:r>
    </w:p>
    <w:p w14:paraId="3BF343FC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外国留学生综合成绩奖学金</w:t>
      </w:r>
      <w:r>
        <w:rPr>
          <w:rFonts w:hint="eastAsia" w:ascii="仿宋" w:hAnsi="仿宋" w:eastAsia="仿宋" w:cs="仿宋"/>
          <w:sz w:val="32"/>
          <w:szCs w:val="32"/>
        </w:rPr>
        <w:t>（含广西政府东盟国家留学生优秀学生奖学金）</w:t>
      </w:r>
    </w:p>
    <w:p w14:paraId="4F77E5DC">
      <w:pPr>
        <w:pStyle w:val="11"/>
        <w:numPr>
          <w:ilvl w:val="0"/>
          <w:numId w:val="3"/>
        </w:numPr>
        <w:ind w:left="0" w:leftChars="0" w:firstLine="480" w:firstLineChars="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硕士研究生：每人每学年2000元，仅二年级有课程成绩的学年可参加评选。</w:t>
      </w:r>
    </w:p>
    <w:p w14:paraId="54F993E7">
      <w:pPr>
        <w:pStyle w:val="11"/>
        <w:numPr>
          <w:ilvl w:val="0"/>
          <w:numId w:val="3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本科生：</w:t>
      </w:r>
    </w:p>
    <w:p w14:paraId="4ABD083C">
      <w:pPr>
        <w:pStyle w:val="11"/>
        <w:numPr>
          <w:ilvl w:val="0"/>
          <w:numId w:val="4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一等奖：每人每学年2000元；</w:t>
      </w:r>
    </w:p>
    <w:p w14:paraId="79FDC01A">
      <w:pPr>
        <w:pStyle w:val="11"/>
        <w:numPr>
          <w:ilvl w:val="0"/>
          <w:numId w:val="4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二等奖：每人每学年1500元；</w:t>
      </w:r>
    </w:p>
    <w:p w14:paraId="5718570B">
      <w:pPr>
        <w:pStyle w:val="11"/>
        <w:numPr>
          <w:ilvl w:val="0"/>
          <w:numId w:val="4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三等奖：每人每学年1000元。</w:t>
      </w:r>
    </w:p>
    <w:p w14:paraId="12F257D6">
      <w:pPr>
        <w:pStyle w:val="11"/>
        <w:numPr>
          <w:ilvl w:val="0"/>
          <w:numId w:val="3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广西政府东盟国家留学生优秀学生奖学金：面向东盟国家自费留学生，全日制在校本科生和硕士生，评选办法参照外国留学生综合成绩奖学金相关规定。</w:t>
      </w:r>
    </w:p>
    <w:p w14:paraId="274B695E">
      <w:pPr>
        <w:pStyle w:val="3"/>
        <w:numPr>
          <w:ilvl w:val="0"/>
          <w:numId w:val="2"/>
        </w:numPr>
        <w:topLinePunct w:val="0"/>
        <w:ind w:left="0" w:leftChars="0" w:firstLine="0" w:firstLineChars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国际教育学院单项奖学金</w:t>
      </w:r>
    </w:p>
    <w:p w14:paraId="3319D5AC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单科成绩优秀奖学金：每人每学年200元；</w:t>
      </w:r>
    </w:p>
    <w:p w14:paraId="0617078E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成绩进步奖：每人每学年500元；</w:t>
      </w:r>
    </w:p>
    <w:p w14:paraId="3FAD38D4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5D02C469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专业技能奖：每人每学年1000元；</w:t>
      </w:r>
    </w:p>
    <w:p w14:paraId="4F4061DB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文体活动积极分子奖：</w:t>
      </w:r>
    </w:p>
    <w:p w14:paraId="7E9F3D43">
      <w:pPr>
        <w:pStyle w:val="11"/>
        <w:numPr>
          <w:ilvl w:val="0"/>
          <w:numId w:val="6"/>
        </w:numPr>
        <w:ind w:left="42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一等奖：每人每学年500元；</w:t>
      </w:r>
    </w:p>
    <w:p w14:paraId="6607657F">
      <w:pPr>
        <w:pStyle w:val="11"/>
        <w:numPr>
          <w:ilvl w:val="0"/>
          <w:numId w:val="6"/>
        </w:numPr>
        <w:ind w:left="42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二等奖：每人每学年300元；</w:t>
      </w:r>
    </w:p>
    <w:p w14:paraId="5D7A44E9">
      <w:pPr>
        <w:pStyle w:val="11"/>
        <w:numPr>
          <w:ilvl w:val="0"/>
          <w:numId w:val="6"/>
        </w:numPr>
        <w:ind w:left="42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三等奖：每人每学年200元；</w:t>
      </w:r>
    </w:p>
    <w:p w14:paraId="65B12AC5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优秀学生干部奖：每人每学年500元；</w:t>
      </w:r>
    </w:p>
    <w:p w14:paraId="5B5B67CF">
      <w:pPr>
        <w:pStyle w:val="11"/>
        <w:numPr>
          <w:ilvl w:val="0"/>
          <w:numId w:val="5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优秀毕业生奖：每人500元。</w:t>
      </w:r>
    </w:p>
    <w:p w14:paraId="1C1237A3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申请条件</w:t>
      </w:r>
    </w:p>
    <w:p w14:paraId="44360EF4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对华友好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遵守中国法律、法规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尊重中国风俗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习惯，</w:t>
      </w:r>
      <w:r>
        <w:rPr>
          <w:rFonts w:hint="eastAsia" w:ascii="仿宋" w:hAnsi="仿宋" w:eastAsia="仿宋" w:cs="仿宋"/>
          <w:sz w:val="32"/>
          <w:szCs w:val="32"/>
        </w:rPr>
        <w:t>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守学校规章制度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完成学校学习任务。</w:t>
      </w:r>
      <w:r>
        <w:rPr>
          <w:rFonts w:hint="eastAsia" w:ascii="仿宋" w:hAnsi="仿宋" w:eastAsia="仿宋" w:cs="仿宋"/>
          <w:sz w:val="32"/>
          <w:szCs w:val="32"/>
        </w:rPr>
        <w:t>热爱学校，诚实守信，有良好的道德修养。</w:t>
      </w:r>
    </w:p>
    <w:p w14:paraId="3CCF6048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在国际教育学院正式注册超过1年以上的学生，休学后复学满1年以上的学生。</w:t>
      </w:r>
    </w:p>
    <w:p w14:paraId="776DE6B3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奖学金评奖当学年，无违纪行为，未受严重警告或以上处分。</w:t>
      </w:r>
    </w:p>
    <w:p w14:paraId="5B7FE63D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奖学金评奖当学年，学习总成绩在班级排名前20%。</w:t>
      </w:r>
    </w:p>
    <w:p w14:paraId="0C92DA5D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无欠缴学费、住宿费、水电费和其他费用。</w:t>
      </w:r>
    </w:p>
    <w:p w14:paraId="3B354D62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无休学和延毕。</w:t>
      </w:r>
    </w:p>
    <w:p w14:paraId="7DA8CF45">
      <w:pPr>
        <w:pStyle w:val="11"/>
        <w:numPr>
          <w:ilvl w:val="0"/>
          <w:numId w:val="7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单项奖学金额外条件：</w:t>
      </w:r>
    </w:p>
    <w:p w14:paraId="187C17BF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单科成绩优秀奖学金：正考单科（必修课）成绩在90分以上（含90分），评奖当学年补考、重修科目总和不得多于3门（不含3门），研究生不予参评；</w:t>
      </w:r>
    </w:p>
    <w:p w14:paraId="791DD0E8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成绩进步奖：本学年度各科成绩平均分比上一学年度高10分以上（含10分），评奖当学年补考、重修科目总和不得多于3门（不含3门），研究生不予参评；</w:t>
      </w:r>
    </w:p>
    <w:p w14:paraId="2E672808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专业技能奖：评奖当学年补考、重修科目总和不得多于3门（不含3门），需符合科研、竞赛、专利等相关条件；</w:t>
      </w:r>
    </w:p>
    <w:p w14:paraId="72439FF4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文体活动积极分子奖：评奖当学年补考、重修科目总和不得多于3门（不含3门），需参加相应级别文体比赛并获奖；</w:t>
      </w:r>
    </w:p>
    <w:p w14:paraId="6273BABB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优秀学生干部奖：评奖当学年担任班级学生干部且任期满一学年，各科成绩平均分在60分以上，学年内补考、重修科目不超过2门（不含2门）；</w:t>
      </w:r>
    </w:p>
    <w:p w14:paraId="3076E43E">
      <w:pPr>
        <w:pStyle w:val="11"/>
        <w:numPr>
          <w:ilvl w:val="0"/>
          <w:numId w:val="8"/>
        </w:numPr>
        <w:ind w:left="0" w:leftChars="0" w:firstLine="480" w:firstLineChars="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优秀毕业生奖：在校期间未受过任何处分，历年综合成绩名列本年级本专业前20%，体育成绩合格，不同学年中共获得各级各类奖学金超过3次（含3次）。</w:t>
      </w:r>
    </w:p>
    <w:p w14:paraId="52652DAC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661C9263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评定程序</w:t>
      </w:r>
    </w:p>
    <w:p w14:paraId="3368A633">
      <w:pPr>
        <w:pStyle w:val="11"/>
        <w:numPr>
          <w:ilvl w:val="0"/>
          <w:numId w:val="9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评定时间：每年11月至12月对上一学年进行考核评定；优秀毕业生评定时间为学业最后一年的5月至6月。</w:t>
      </w:r>
    </w:p>
    <w:p w14:paraId="1D279E97">
      <w:pPr>
        <w:pStyle w:val="11"/>
        <w:numPr>
          <w:ilvl w:val="0"/>
          <w:numId w:val="9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申请材料：奖学金申请表、个人申请书（申请优秀学生干部奖需提交当年工作总结）、相关证书和书面证明材料复印件及其他需要提供的材料。</w:t>
      </w:r>
    </w:p>
    <w:p w14:paraId="051263B7">
      <w:pPr>
        <w:pStyle w:val="11"/>
        <w:numPr>
          <w:ilvl w:val="0"/>
          <w:numId w:val="9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评定流程：学生申请→各年级班主任初评→奖学金评定小组审定→学院主管负责人最终确定推荐获奖人选→全院公示3个工作日（无异议后正式确定）。</w:t>
      </w:r>
    </w:p>
    <w:p w14:paraId="4D34D558">
      <w:pPr>
        <w:pStyle w:val="11"/>
        <w:numPr>
          <w:ilvl w:val="0"/>
          <w:numId w:val="9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申诉复核：对评定结果有异议的，可于公示之日起3个工作日内向学院学生工作办公室申诉，受理结果在十个工作日内公示。</w:t>
      </w:r>
    </w:p>
    <w:p w14:paraId="2646434D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评分细则</w:t>
      </w:r>
    </w:p>
    <w:p w14:paraId="2C8FAF9B">
      <w:pPr>
        <w:pStyle w:val="3"/>
        <w:numPr>
          <w:ilvl w:val="0"/>
          <w:numId w:val="10"/>
        </w:numPr>
        <w:topLinePunct w:val="0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外国留学生综合成绩奖学金</w:t>
      </w:r>
    </w:p>
    <w:p w14:paraId="181E6C03">
      <w:pPr>
        <w:pStyle w:val="11"/>
        <w:numPr>
          <w:ilvl w:val="0"/>
          <w:numId w:val="11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科生：评奖学年内补考、重修科目不得超过3门，评分参照基本分、加分项目、减分项目执行，学年内成绩合格无补考、重修者综合平均分加1分；综合成绩平均分85分以上（含85分）为一等奖，80分以上（含80分）为二等奖，75分以上（含75分）为三等奖。</w:t>
      </w:r>
    </w:p>
    <w:p w14:paraId="1892CA6C">
      <w:pPr>
        <w:pStyle w:val="11"/>
        <w:numPr>
          <w:ilvl w:val="0"/>
          <w:numId w:val="11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硕士研究生：科研工作严谨求实，研究成效显著，医德良好，按时完成培养要求且导师和教研室评价优秀；学位课程单科考试成绩不低于70分，无不及格课程；综合平均分在82分以上（含82分）；评分参照加分项目、减分项目执行。</w:t>
      </w:r>
    </w:p>
    <w:p w14:paraId="52EBF9BD">
      <w:pPr>
        <w:pStyle w:val="11"/>
        <w:numPr>
          <w:ilvl w:val="0"/>
          <w:numId w:val="11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总分相同处理：学习成绩部分分数较高者优先；学习成绩部分相同，加权平均分分数较高者优先。</w:t>
      </w:r>
    </w:p>
    <w:p w14:paraId="18687601">
      <w:pPr>
        <w:pStyle w:val="3"/>
        <w:numPr>
          <w:ilvl w:val="0"/>
          <w:numId w:val="10"/>
        </w:numPr>
        <w:topLinePunct w:val="0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国际教育学院单项奖学金</w:t>
      </w:r>
    </w:p>
    <w:p w14:paraId="14D38A71">
      <w:pPr>
        <w:pStyle w:val="1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按照各类单项奖学金具体条件，由国际教育学院教学部根据申请情况及材料综合评定，按规定人数比例确定初步获奖人选。</w:t>
      </w:r>
    </w:p>
    <w:p w14:paraId="51EB6740">
      <w:pPr>
        <w:pStyle w:val="11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注:其余评分细则详见附件2。</w:t>
      </w:r>
    </w:p>
    <w:p w14:paraId="1A7C4D04">
      <w:pPr>
        <w:pStyle w:val="2"/>
        <w:numPr>
          <w:ilvl w:val="0"/>
          <w:numId w:val="1"/>
        </w:numPr>
        <w:topLinePunct w:val="0"/>
        <w:ind w:left="0" w:leftChars="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附则</w:t>
      </w:r>
    </w:p>
    <w:p w14:paraId="21F41E89">
      <w:pPr>
        <w:pStyle w:val="11"/>
        <w:numPr>
          <w:ilvl w:val="0"/>
          <w:numId w:val="12"/>
        </w:numPr>
        <w:ind w:left="0" w:leftChars="0" w:firstLine="48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本方案由广西中医药大学国际教育学院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负责解释。</w:t>
      </w:r>
    </w:p>
    <w:p w14:paraId="54B4D03B">
      <w:pPr>
        <w:pStyle w:val="11"/>
        <w:numPr>
          <w:ilvl w:val="0"/>
          <w:numId w:val="12"/>
        </w:numPr>
        <w:ind w:left="0" w:leftChars="0" w:firstLine="480" w:firstLineChars="0"/>
        <w:rPr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本方案自20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日起施行。</w:t>
      </w:r>
    </w:p>
    <w:p w14:paraId="6CF4DFD9">
      <w:pPr>
        <w:bidi w:val="0"/>
        <w:rPr>
          <w:rFonts w:hint="eastAsia" w:ascii="仿宋" w:hAnsi="仿宋" w:eastAsia="仿宋" w:cs="仿宋"/>
          <w:sz w:val="32"/>
          <w:szCs w:val="32"/>
        </w:rPr>
      </w:pPr>
    </w:p>
    <w:p w14:paraId="079F82F5">
      <w:pPr>
        <w:bidi w:val="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7496C48-C891-4A41-A723-746BFF58C5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3B11EC5-B0F7-4AF8-935F-E1F1D9087746}"/>
  </w:font>
  <w:font w:name="WPSEMBED2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F903A"/>
    <w:multiLevelType w:val="singleLevel"/>
    <w:tmpl w:val="B76F903A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">
    <w:nsid w:val="CBFACF42"/>
    <w:multiLevelType w:val="singleLevel"/>
    <w:tmpl w:val="CBFACF42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2">
    <w:nsid w:val="DB5D6C0B"/>
    <w:multiLevelType w:val="singleLevel"/>
    <w:tmpl w:val="DB5D6C0B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3">
    <w:nsid w:val="F6FF6B87"/>
    <w:multiLevelType w:val="singleLevel"/>
    <w:tmpl w:val="F6FF6B87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4">
    <w:nsid w:val="FBF63124"/>
    <w:multiLevelType w:val="singleLevel"/>
    <w:tmpl w:val="FBF63124"/>
    <w:lvl w:ilvl="0" w:tentative="0">
      <w:start w:val="0"/>
      <w:numFmt w:val="decimal"/>
      <w:suff w:val="space"/>
      <w:lvlText w:val=""/>
      <w:lvlJc w:val="left"/>
      <w:pPr>
        <w:ind w:left="420" w:firstLine="480"/>
      </w:pPr>
      <w:rPr>
        <w:rFonts w:hint="default"/>
      </w:rPr>
    </w:lvl>
  </w:abstractNum>
  <w:abstractNum w:abstractNumId="5">
    <w:nsid w:val="FD42A90B"/>
    <w:multiLevelType w:val="singleLevel"/>
    <w:tmpl w:val="FD42A90B"/>
    <w:lvl w:ilvl="0" w:tentative="0">
      <w:start w:val="0"/>
      <w:numFmt w:val="decimal"/>
      <w:suff w:val="space"/>
      <w:lvlText w:val=""/>
      <w:lvlJc w:val="left"/>
      <w:pPr>
        <w:ind w:left="0" w:firstLine="480"/>
      </w:pPr>
      <w:rPr>
        <w:rFonts w:hint="default"/>
      </w:rPr>
    </w:lvl>
  </w:abstractNum>
  <w:abstractNum w:abstractNumId="6">
    <w:nsid w:val="FEBE97F2"/>
    <w:multiLevelType w:val="singleLevel"/>
    <w:tmpl w:val="FEBE97F2"/>
    <w:lvl w:ilvl="0" w:tentative="0">
      <w:start w:val="0"/>
      <w:numFmt w:val="decimal"/>
      <w:suff w:val="space"/>
      <w:lvlText w:val=""/>
      <w:lvlJc w:val="left"/>
      <w:pPr>
        <w:ind w:left="0" w:firstLine="480"/>
      </w:pPr>
      <w:rPr>
        <w:rFonts w:hint="default"/>
      </w:rPr>
    </w:lvl>
  </w:abstractNum>
  <w:abstractNum w:abstractNumId="7">
    <w:nsid w:val="171E70DC"/>
    <w:multiLevelType w:val="singleLevel"/>
    <w:tmpl w:val="171E70DC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8">
    <w:nsid w:val="696A0E48"/>
    <w:multiLevelType w:val="singleLevel"/>
    <w:tmpl w:val="696A0E48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9">
    <w:nsid w:val="6F7CEE99"/>
    <w:multiLevelType w:val="singleLevel"/>
    <w:tmpl w:val="6F7CEE99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eastAsia"/>
      </w:rPr>
    </w:lvl>
  </w:abstractNum>
  <w:abstractNum w:abstractNumId="10">
    <w:nsid w:val="7BD545AA"/>
    <w:multiLevelType w:val="singleLevel"/>
    <w:tmpl w:val="7BD545AA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1">
    <w:nsid w:val="7FA6607B"/>
    <w:multiLevelType w:val="singleLevel"/>
    <w:tmpl w:val="7FA6607B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2D451"/>
    <w:rsid w:val="1BE2D451"/>
    <w:rsid w:val="1F502448"/>
    <w:rsid w:val="2F1256E2"/>
    <w:rsid w:val="554D33C7"/>
    <w:rsid w:val="57F95B34"/>
    <w:rsid w:val="72253C9E"/>
    <w:rsid w:val="EB1B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1500</Words>
  <Characters>1554</Characters>
  <Lines>0</Lines>
  <Paragraphs>0</Paragraphs>
  <TotalTime>3</TotalTime>
  <ScaleCrop>false</ScaleCrop>
  <LinksUpToDate>false</LinksUpToDate>
  <CharactersWithSpaces>1554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2025-11-28T16:15:00Z</dcterms:created>
  <dc:creator>Chen Bin</dc:creator>
  <cp:lastModifiedBy>美糖~云丽</cp:lastModifiedBy>
  <dcterms:modified xsi:type="dcterms:W3CDTF">2026-01-09T02:29:51Z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D64872C7D7884B47A951A23CBF78C896_13</vt:lpwstr>
  </property>
  <property fmtid="{D5CDD505-2E9C-101B-9397-08002B2CF9AE}" pid="4" name="KSOTemplateDocerSaveRecord">
    <vt:lpwstr>eyJoZGlkIjoiOTM1MGQ5YmUwMWZkNzM3NDM1MmI4NjU0MTcxNGRlNmEiLCJ1c2VySWQiOiIzMzU4NTExMzUifQ==</vt:lpwstr>
  </property>
</Properties>
</file>