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7647E">
      <w:pPr>
        <w:jc w:val="left"/>
        <w:rPr>
          <w:rFonts w:hint="default" w:ascii="Arial" w:hAnsi="Arial" w:eastAsia="宋体" w:cs="Arial"/>
          <w:b/>
          <w:bCs/>
          <w:kern w:val="0"/>
          <w:sz w:val="28"/>
          <w:szCs w:val="28"/>
          <w:lang w:val="en-US" w:eastAsia="zh-CN"/>
        </w:rPr>
      </w:pPr>
      <w:r>
        <w:rPr>
          <w:rFonts w:hint="eastAsia" w:ascii="Arial" w:hAnsi="Arial" w:cs="Arial"/>
          <w:b/>
          <w:bCs/>
          <w:kern w:val="0"/>
          <w:sz w:val="28"/>
          <w:szCs w:val="28"/>
          <w:lang w:val="en-US" w:eastAsia="zh-CN"/>
        </w:rPr>
        <w:t>附件4</w:t>
      </w:r>
    </w:p>
    <w:p w14:paraId="18C3EAA1">
      <w:pPr>
        <w:jc w:val="center"/>
        <w:rPr>
          <w:rFonts w:ascii="Arial" w:hAnsi="Arial" w:cs="Arial"/>
          <w:b/>
          <w:bCs/>
          <w:kern w:val="0"/>
          <w:sz w:val="52"/>
          <w:szCs w:val="52"/>
        </w:rPr>
      </w:pPr>
      <w:r>
        <w:rPr>
          <w:rFonts w:hint="eastAsia" w:ascii="Arial" w:hAnsi="Arial" w:cs="Arial"/>
          <w:b/>
          <w:bCs/>
          <w:kern w:val="0"/>
          <w:sz w:val="52"/>
          <w:szCs w:val="52"/>
        </w:rPr>
        <w:t>广西中医药大学采购合同书</w:t>
      </w:r>
    </w:p>
    <w:p w14:paraId="13611E4D">
      <w:pPr>
        <w:jc w:val="center"/>
        <w:rPr>
          <w:rFonts w:ascii="Arial" w:hAnsi="Arial" w:cs="Arial"/>
          <w:b/>
          <w:bCs/>
          <w:kern w:val="0"/>
          <w:sz w:val="84"/>
          <w:szCs w:val="84"/>
        </w:rPr>
      </w:pPr>
    </w:p>
    <w:p w14:paraId="7930A92F">
      <w:pPr>
        <w:jc w:val="center"/>
        <w:rPr>
          <w:rFonts w:ascii="Arial" w:hAnsi="Arial" w:cs="Arial"/>
          <w:b/>
          <w:bCs/>
          <w:kern w:val="0"/>
          <w:sz w:val="84"/>
          <w:szCs w:val="84"/>
        </w:rPr>
      </w:pPr>
    </w:p>
    <w:p w14:paraId="59284235">
      <w:pPr>
        <w:jc w:val="center"/>
        <w:rPr>
          <w:rFonts w:ascii="Arial" w:hAnsi="Arial" w:cs="Arial"/>
          <w:b/>
          <w:bCs/>
          <w:kern w:val="0"/>
          <w:sz w:val="84"/>
          <w:szCs w:val="84"/>
        </w:rPr>
      </w:pPr>
    </w:p>
    <w:tbl>
      <w:tblPr>
        <w:tblStyle w:val="4"/>
        <w:tblW w:w="8558" w:type="dxa"/>
        <w:jc w:val="center"/>
        <w:tblLayout w:type="autofit"/>
        <w:tblCellMar>
          <w:top w:w="0" w:type="dxa"/>
          <w:left w:w="108" w:type="dxa"/>
          <w:bottom w:w="0" w:type="dxa"/>
          <w:right w:w="108" w:type="dxa"/>
        </w:tblCellMar>
      </w:tblPr>
      <w:tblGrid>
        <w:gridCol w:w="2268"/>
        <w:gridCol w:w="6290"/>
      </w:tblGrid>
      <w:tr w14:paraId="75AE3A58">
        <w:tblPrEx>
          <w:tblCellMar>
            <w:top w:w="0" w:type="dxa"/>
            <w:left w:w="108" w:type="dxa"/>
            <w:bottom w:w="0" w:type="dxa"/>
            <w:right w:w="108" w:type="dxa"/>
          </w:tblCellMar>
        </w:tblPrEx>
        <w:trPr>
          <w:trHeight w:val="964" w:hRule="atLeast"/>
          <w:jc w:val="center"/>
        </w:trPr>
        <w:tc>
          <w:tcPr>
            <w:tcW w:w="2268" w:type="dxa"/>
            <w:noWrap/>
            <w:vAlign w:val="center"/>
          </w:tcPr>
          <w:p w14:paraId="0B9BE7D1">
            <w:pPr>
              <w:jc w:val="right"/>
              <w:rPr>
                <w:rFonts w:ascii="Arial" w:hAnsi="Arial" w:cs="Arial"/>
                <w:b/>
                <w:bCs/>
                <w:sz w:val="32"/>
                <w:szCs w:val="32"/>
              </w:rPr>
            </w:pPr>
            <w:r>
              <w:rPr>
                <w:rFonts w:hint="eastAsia" w:ascii="Arial" w:hAnsi="Arial" w:cs="Arial"/>
                <w:b/>
                <w:bCs/>
                <w:sz w:val="32"/>
                <w:szCs w:val="32"/>
              </w:rPr>
              <w:t>合同名称：</w:t>
            </w:r>
          </w:p>
        </w:tc>
        <w:tc>
          <w:tcPr>
            <w:tcW w:w="6290" w:type="dxa"/>
            <w:noWrap/>
            <w:vAlign w:val="center"/>
          </w:tcPr>
          <w:p w14:paraId="11F56F34">
            <w:pPr>
              <w:rPr>
                <w:rFonts w:ascii="Arial" w:hAnsi="Arial" w:cs="Arial"/>
                <w:b/>
                <w:bCs/>
                <w:kern w:val="0"/>
                <w:sz w:val="32"/>
                <w:szCs w:val="32"/>
              </w:rPr>
            </w:pPr>
            <w:r>
              <w:rPr>
                <w:rFonts w:hint="eastAsia" w:ascii="Arial" w:hAnsi="Arial" w:cs="Arial"/>
                <w:b/>
                <w:sz w:val="32"/>
                <w:szCs w:val="32"/>
              </w:rPr>
              <w:t>XXXXX采购项目</w:t>
            </w:r>
          </w:p>
        </w:tc>
      </w:tr>
      <w:tr w14:paraId="5D81FF69">
        <w:tblPrEx>
          <w:tblCellMar>
            <w:top w:w="0" w:type="dxa"/>
            <w:left w:w="108" w:type="dxa"/>
            <w:bottom w:w="0" w:type="dxa"/>
            <w:right w:w="108" w:type="dxa"/>
          </w:tblCellMar>
        </w:tblPrEx>
        <w:trPr>
          <w:trHeight w:val="850" w:hRule="atLeast"/>
          <w:jc w:val="center"/>
        </w:trPr>
        <w:tc>
          <w:tcPr>
            <w:tcW w:w="2268" w:type="dxa"/>
            <w:noWrap/>
            <w:vAlign w:val="center"/>
          </w:tcPr>
          <w:p w14:paraId="727A4E39">
            <w:pPr>
              <w:jc w:val="center"/>
              <w:rPr>
                <w:rFonts w:ascii="Arial" w:hAnsi="Arial" w:cs="Arial"/>
                <w:b/>
                <w:bCs/>
                <w:sz w:val="32"/>
                <w:szCs w:val="32"/>
              </w:rPr>
            </w:pPr>
            <w:r>
              <w:rPr>
                <w:rFonts w:hint="eastAsia" w:ascii="Arial" w:hAnsi="Arial" w:cs="Arial"/>
                <w:b/>
                <w:bCs/>
                <w:sz w:val="32"/>
                <w:szCs w:val="32"/>
              </w:rPr>
              <w:t>合同编号：</w:t>
            </w:r>
          </w:p>
        </w:tc>
        <w:tc>
          <w:tcPr>
            <w:tcW w:w="6290" w:type="dxa"/>
            <w:noWrap/>
            <w:vAlign w:val="center"/>
          </w:tcPr>
          <w:p w14:paraId="56CC2454">
            <w:pPr>
              <w:rPr>
                <w:rFonts w:ascii="Arial" w:hAnsi="Arial" w:cs="Arial"/>
                <w:b/>
                <w:sz w:val="32"/>
                <w:szCs w:val="32"/>
              </w:rPr>
            </w:pPr>
            <w:r>
              <w:rPr>
                <w:rFonts w:hint="eastAsia" w:ascii="微软雅黑" w:hAnsi="微软雅黑" w:eastAsia="微软雅黑" w:cs="微软雅黑"/>
                <w:b/>
                <w:bCs/>
                <w:color w:val="202020"/>
                <w:sz w:val="30"/>
                <w:szCs w:val="30"/>
                <w:shd w:val="clear" w:color="auto" w:fill="FFFFFF"/>
              </w:rPr>
              <w:t>XXXXX</w:t>
            </w:r>
          </w:p>
        </w:tc>
      </w:tr>
    </w:tbl>
    <w:p w14:paraId="0BA74260">
      <w:pPr>
        <w:jc w:val="center"/>
        <w:rPr>
          <w:rFonts w:ascii="Arial" w:hAnsi="Arial" w:cs="Arial"/>
          <w:b/>
          <w:bCs/>
          <w:kern w:val="0"/>
          <w:sz w:val="84"/>
          <w:szCs w:val="84"/>
        </w:rPr>
      </w:pPr>
    </w:p>
    <w:p w14:paraId="1BBE57EF">
      <w:pPr>
        <w:jc w:val="center"/>
        <w:rPr>
          <w:rFonts w:ascii="Arial" w:hAnsi="Arial" w:cs="Arial"/>
          <w:b/>
          <w:bCs/>
          <w:kern w:val="0"/>
          <w:sz w:val="84"/>
          <w:szCs w:val="84"/>
        </w:rPr>
      </w:pPr>
    </w:p>
    <w:p w14:paraId="7F70D95C">
      <w:pPr>
        <w:jc w:val="center"/>
        <w:rPr>
          <w:rFonts w:ascii="Arial" w:hAnsi="Arial" w:cs="Arial"/>
          <w:b/>
          <w:bCs/>
          <w:kern w:val="0"/>
          <w:sz w:val="84"/>
          <w:szCs w:val="84"/>
        </w:rPr>
      </w:pPr>
    </w:p>
    <w:tbl>
      <w:tblPr>
        <w:tblStyle w:val="4"/>
        <w:tblW w:w="7500" w:type="dxa"/>
        <w:jc w:val="center"/>
        <w:tblLayout w:type="autofit"/>
        <w:tblCellMar>
          <w:top w:w="0" w:type="dxa"/>
          <w:left w:w="108" w:type="dxa"/>
          <w:bottom w:w="0" w:type="dxa"/>
          <w:right w:w="108" w:type="dxa"/>
        </w:tblCellMar>
      </w:tblPr>
      <w:tblGrid>
        <w:gridCol w:w="2268"/>
        <w:gridCol w:w="5232"/>
      </w:tblGrid>
      <w:tr w14:paraId="33FA7FD6">
        <w:tblPrEx>
          <w:tblCellMar>
            <w:top w:w="0" w:type="dxa"/>
            <w:left w:w="108" w:type="dxa"/>
            <w:bottom w:w="0" w:type="dxa"/>
            <w:right w:w="108" w:type="dxa"/>
          </w:tblCellMar>
        </w:tblPrEx>
        <w:trPr>
          <w:trHeight w:val="680" w:hRule="atLeast"/>
          <w:jc w:val="center"/>
        </w:trPr>
        <w:tc>
          <w:tcPr>
            <w:tcW w:w="2268" w:type="dxa"/>
            <w:noWrap/>
            <w:vAlign w:val="center"/>
          </w:tcPr>
          <w:p w14:paraId="696FC829">
            <w:pPr>
              <w:ind w:right="19" w:rightChars="9"/>
              <w:rPr>
                <w:rFonts w:ascii="Arial" w:hAnsi="Arial" w:cs="Arial"/>
                <w:b/>
                <w:bCs/>
                <w:kern w:val="0"/>
                <w:sz w:val="2"/>
                <w:szCs w:val="2"/>
              </w:rPr>
            </w:pPr>
            <w:r>
              <w:rPr>
                <w:rFonts w:hint="eastAsia" w:ascii="Arial" w:hAnsi="Arial" w:cs="Arial"/>
                <w:b/>
                <w:bCs/>
                <w:kern w:val="0"/>
                <w:sz w:val="32"/>
                <w:szCs w:val="32"/>
              </w:rPr>
              <w:t>采购单位：</w:t>
            </w:r>
          </w:p>
        </w:tc>
        <w:tc>
          <w:tcPr>
            <w:tcW w:w="5232" w:type="dxa"/>
            <w:noWrap/>
            <w:vAlign w:val="center"/>
          </w:tcPr>
          <w:p w14:paraId="38060A92">
            <w:pPr>
              <w:jc w:val="left"/>
              <w:rPr>
                <w:rFonts w:ascii="Arial" w:hAnsi="Arial" w:cs="Arial"/>
                <w:b/>
                <w:bCs/>
                <w:kern w:val="0"/>
                <w:sz w:val="32"/>
                <w:szCs w:val="32"/>
              </w:rPr>
            </w:pPr>
            <w:r>
              <w:rPr>
                <w:rFonts w:hint="eastAsia" w:ascii="Arial" w:hAnsi="Arial" w:cs="Arial"/>
                <w:b/>
                <w:bCs/>
                <w:kern w:val="0"/>
                <w:sz w:val="32"/>
                <w:szCs w:val="32"/>
              </w:rPr>
              <w:t>广西中医药大学</w:t>
            </w:r>
          </w:p>
        </w:tc>
      </w:tr>
      <w:tr w14:paraId="559121D0">
        <w:tblPrEx>
          <w:tblCellMar>
            <w:top w:w="0" w:type="dxa"/>
            <w:left w:w="108" w:type="dxa"/>
            <w:bottom w:w="0" w:type="dxa"/>
            <w:right w:w="108" w:type="dxa"/>
          </w:tblCellMar>
        </w:tblPrEx>
        <w:trPr>
          <w:trHeight w:val="680" w:hRule="atLeast"/>
          <w:jc w:val="center"/>
        </w:trPr>
        <w:tc>
          <w:tcPr>
            <w:tcW w:w="2268" w:type="dxa"/>
            <w:noWrap/>
            <w:vAlign w:val="center"/>
          </w:tcPr>
          <w:p w14:paraId="43D5EB9C">
            <w:pPr>
              <w:rPr>
                <w:rFonts w:ascii="Arial" w:hAnsi="Arial" w:cs="Arial"/>
                <w:b/>
                <w:bCs/>
                <w:kern w:val="0"/>
                <w:sz w:val="2"/>
                <w:szCs w:val="2"/>
              </w:rPr>
            </w:pPr>
            <w:r>
              <w:rPr>
                <w:rFonts w:hint="eastAsia" w:ascii="Arial" w:hAnsi="Arial" w:cs="Arial"/>
                <w:b/>
                <w:bCs/>
                <w:kern w:val="0"/>
                <w:sz w:val="32"/>
                <w:szCs w:val="32"/>
              </w:rPr>
              <w:t>供应商：</w:t>
            </w:r>
          </w:p>
        </w:tc>
        <w:tc>
          <w:tcPr>
            <w:tcW w:w="5232" w:type="dxa"/>
            <w:noWrap/>
            <w:vAlign w:val="center"/>
          </w:tcPr>
          <w:p w14:paraId="4BCB9371">
            <w:pPr>
              <w:jc w:val="left"/>
              <w:rPr>
                <w:rFonts w:ascii="Arial" w:hAnsi="Arial" w:cs="Arial"/>
                <w:b/>
                <w:bCs/>
                <w:kern w:val="0"/>
                <w:sz w:val="32"/>
                <w:szCs w:val="32"/>
              </w:rPr>
            </w:pPr>
            <w:r>
              <w:rPr>
                <w:rFonts w:hint="eastAsia" w:ascii="Arial" w:hAnsi="Arial" w:cs="Arial"/>
                <w:b/>
                <w:bCs/>
                <w:kern w:val="0"/>
                <w:sz w:val="32"/>
                <w:szCs w:val="32"/>
              </w:rPr>
              <w:t>XXXXXX</w:t>
            </w:r>
          </w:p>
        </w:tc>
      </w:tr>
      <w:tr w14:paraId="21D19723">
        <w:tblPrEx>
          <w:tblCellMar>
            <w:top w:w="0" w:type="dxa"/>
            <w:left w:w="108" w:type="dxa"/>
            <w:bottom w:w="0" w:type="dxa"/>
            <w:right w:w="108" w:type="dxa"/>
          </w:tblCellMar>
        </w:tblPrEx>
        <w:trPr>
          <w:trHeight w:val="680" w:hRule="atLeast"/>
          <w:jc w:val="center"/>
        </w:trPr>
        <w:tc>
          <w:tcPr>
            <w:tcW w:w="7500" w:type="dxa"/>
            <w:gridSpan w:val="2"/>
            <w:noWrap/>
          </w:tcPr>
          <w:p w14:paraId="48B812B2">
            <w:pPr>
              <w:jc w:val="center"/>
              <w:rPr>
                <w:rFonts w:ascii="Arial" w:hAnsi="Arial" w:cs="Arial"/>
                <w:b/>
                <w:bCs/>
                <w:kern w:val="0"/>
                <w:sz w:val="32"/>
                <w:szCs w:val="32"/>
              </w:rPr>
            </w:pPr>
            <w:r>
              <w:rPr>
                <w:rFonts w:ascii="Arial" w:hAnsi="Arial" w:cs="Arial"/>
                <w:b/>
                <w:bCs/>
                <w:kern w:val="0"/>
                <w:sz w:val="32"/>
                <w:szCs w:val="32"/>
              </w:rPr>
              <w:t>202</w:t>
            </w:r>
            <w:r>
              <w:rPr>
                <w:rFonts w:hint="eastAsia" w:ascii="Arial" w:hAnsi="Arial" w:cs="Arial"/>
                <w:b/>
                <w:bCs/>
                <w:kern w:val="0"/>
                <w:sz w:val="32"/>
                <w:szCs w:val="32"/>
              </w:rPr>
              <w:t>5 年月</w:t>
            </w:r>
          </w:p>
        </w:tc>
      </w:tr>
    </w:tbl>
    <w:p w14:paraId="45CC66E6">
      <w:pPr>
        <w:widowControl/>
        <w:jc w:val="left"/>
        <w:rPr>
          <w:rFonts w:ascii="Arial" w:hAnsi="Arial" w:cs="Arial"/>
          <w:b/>
          <w:bCs/>
          <w:kern w:val="0"/>
          <w:sz w:val="32"/>
        </w:rPr>
        <w:sectPr>
          <w:footerReference r:id="rId3" w:type="default"/>
          <w:pgSz w:w="11906" w:h="16838"/>
          <w:pgMar w:top="1247" w:right="1503" w:bottom="1247" w:left="1588" w:header="851" w:footer="992" w:gutter="0"/>
          <w:cols w:space="720" w:num="1"/>
        </w:sectPr>
      </w:pPr>
    </w:p>
    <w:p w14:paraId="0AF7DF15">
      <w:pPr>
        <w:spacing w:line="360" w:lineRule="auto"/>
        <w:ind w:left="5880" w:hanging="5880" w:hangingChars="2800"/>
        <w:jc w:val="left"/>
        <w:rPr>
          <w:rFonts w:ascii="Arial" w:hAnsi="Arial" w:cs="Arial"/>
          <w:szCs w:val="21"/>
        </w:rPr>
      </w:pPr>
      <w:r>
        <w:rPr>
          <w:rFonts w:hint="eastAsia" w:ascii="Arial" w:hAnsi="Arial" w:cs="Arial"/>
          <w:szCs w:val="21"/>
        </w:rPr>
        <w:t>采购单位</w:t>
      </w:r>
      <w:r>
        <w:rPr>
          <w:rFonts w:ascii="Arial" w:hAnsi="Arial" w:cs="Arial"/>
          <w:szCs w:val="21"/>
        </w:rPr>
        <w:t>(</w:t>
      </w:r>
      <w:r>
        <w:rPr>
          <w:rFonts w:hint="eastAsia" w:ascii="Arial" w:hAnsi="Arial" w:cs="Arial"/>
          <w:szCs w:val="21"/>
        </w:rPr>
        <w:t>甲方</w:t>
      </w:r>
      <w:r>
        <w:rPr>
          <w:rFonts w:ascii="Arial" w:hAnsi="Arial" w:cs="Arial"/>
          <w:szCs w:val="21"/>
        </w:rPr>
        <w:t>)</w:t>
      </w:r>
      <w:r>
        <w:rPr>
          <w:rFonts w:hint="eastAsia" w:ascii="Arial" w:hAnsi="Arial" w:cs="Arial"/>
          <w:szCs w:val="21"/>
        </w:rPr>
        <w:t>：</w:t>
      </w:r>
      <w:r>
        <w:rPr>
          <w:rFonts w:hint="eastAsia" w:ascii="Arial" w:hAnsi="Arial" w:cs="Arial"/>
          <w:szCs w:val="21"/>
          <w:u w:val="single"/>
        </w:rPr>
        <w:t>广西中医药大学</w:t>
      </w:r>
    </w:p>
    <w:p w14:paraId="26F646FB">
      <w:pPr>
        <w:spacing w:line="360" w:lineRule="auto"/>
        <w:jc w:val="left"/>
        <w:rPr>
          <w:rFonts w:ascii="Arial" w:hAnsi="Arial" w:cs="Arial"/>
          <w:szCs w:val="21"/>
        </w:rPr>
      </w:pPr>
      <w:r>
        <w:rPr>
          <w:rFonts w:hint="eastAsia" w:ascii="Arial" w:hAnsi="Arial" w:cs="Arial"/>
          <w:szCs w:val="21"/>
        </w:rPr>
        <w:t>供 应 商</w:t>
      </w:r>
      <w:r>
        <w:rPr>
          <w:rFonts w:ascii="Arial" w:hAnsi="Arial" w:cs="Arial"/>
          <w:szCs w:val="21"/>
        </w:rPr>
        <w:t>(</w:t>
      </w:r>
      <w:r>
        <w:rPr>
          <w:rFonts w:hint="eastAsia" w:ascii="Arial" w:hAnsi="Arial" w:cs="Arial"/>
          <w:szCs w:val="21"/>
        </w:rPr>
        <w:t>乙方</w:t>
      </w:r>
      <w:r>
        <w:rPr>
          <w:rFonts w:ascii="Arial" w:hAnsi="Arial" w:cs="Arial"/>
          <w:szCs w:val="21"/>
        </w:rPr>
        <w:t>)</w:t>
      </w:r>
      <w:r>
        <w:rPr>
          <w:rFonts w:hint="eastAsia" w:ascii="Arial" w:hAnsi="Arial" w:cs="Arial"/>
          <w:szCs w:val="21"/>
        </w:rPr>
        <w:t>：</w:t>
      </w:r>
    </w:p>
    <w:p w14:paraId="7AD34126">
      <w:pPr>
        <w:spacing w:line="360" w:lineRule="auto"/>
        <w:jc w:val="left"/>
        <w:rPr>
          <w:rFonts w:ascii="Arial" w:hAnsi="Arial" w:cs="Arial"/>
          <w:szCs w:val="21"/>
        </w:rPr>
      </w:pPr>
      <w:r>
        <w:rPr>
          <w:rFonts w:hint="eastAsia" w:ascii="Arial" w:hAnsi="Arial" w:cs="Arial"/>
          <w:szCs w:val="21"/>
        </w:rPr>
        <w:t>合同编号：</w:t>
      </w:r>
      <w:r>
        <w:rPr>
          <w:rFonts w:hint="eastAsia" w:ascii="Arial" w:hAnsi="Arial" w:cs="Arial"/>
          <w:szCs w:val="21"/>
          <w:u w:val="single"/>
        </w:rPr>
        <w:t>XXXXXX</w:t>
      </w:r>
    </w:p>
    <w:p w14:paraId="5E580DE4">
      <w:pPr>
        <w:spacing w:line="360" w:lineRule="auto"/>
        <w:jc w:val="left"/>
        <w:rPr>
          <w:rFonts w:ascii="Arial" w:hAnsi="Arial" w:cs="Arial"/>
          <w:sz w:val="24"/>
        </w:rPr>
      </w:pPr>
      <w:r>
        <w:rPr>
          <w:rFonts w:hint="eastAsia" w:ascii="Arial" w:hAnsi="Arial" w:cs="Arial"/>
          <w:szCs w:val="21"/>
        </w:rPr>
        <w:t>签订地点：</w:t>
      </w:r>
      <w:r>
        <w:rPr>
          <w:rFonts w:hint="eastAsia" w:ascii="Arial" w:hAnsi="Arial" w:cs="Arial"/>
          <w:szCs w:val="21"/>
          <w:u w:val="single"/>
        </w:rPr>
        <w:t>广西中医药大学</w:t>
      </w:r>
      <w:r>
        <w:rPr>
          <w:rFonts w:hint="eastAsia" w:ascii="Arial" w:hAnsi="Arial" w:cs="Arial"/>
          <w:szCs w:val="21"/>
        </w:rPr>
        <w:t xml:space="preserve"> 签订时间：</w:t>
      </w:r>
      <w:r>
        <w:rPr>
          <w:rFonts w:ascii="Arial" w:hAnsi="Arial" w:cs="Arial"/>
          <w:szCs w:val="21"/>
          <w:u w:val="single"/>
        </w:rPr>
        <w:t>202</w:t>
      </w:r>
      <w:r>
        <w:rPr>
          <w:rFonts w:hint="eastAsia" w:ascii="Arial" w:hAnsi="Arial" w:cs="Arial"/>
          <w:szCs w:val="21"/>
          <w:u w:val="single"/>
        </w:rPr>
        <w:t xml:space="preserve">5 </w:t>
      </w:r>
      <w:r>
        <w:rPr>
          <w:rFonts w:hint="eastAsia" w:ascii="Arial" w:hAnsi="Arial" w:cs="Arial"/>
          <w:szCs w:val="21"/>
        </w:rPr>
        <w:t>年</w:t>
      </w:r>
      <w:r>
        <w:rPr>
          <w:rFonts w:hint="eastAsia" w:ascii="Arial" w:hAnsi="Arial" w:cs="Arial"/>
          <w:szCs w:val="21"/>
          <w:lang w:val="en-US" w:eastAsia="zh-CN"/>
        </w:rPr>
        <w:t xml:space="preserve">  </w:t>
      </w:r>
      <w:r>
        <w:rPr>
          <w:rFonts w:hint="eastAsia" w:ascii="Arial" w:hAnsi="Arial" w:cs="Arial"/>
          <w:szCs w:val="21"/>
        </w:rPr>
        <w:t>月</w:t>
      </w:r>
      <w:r>
        <w:rPr>
          <w:rFonts w:hint="eastAsia" w:ascii="Arial" w:hAnsi="Arial" w:cs="Arial"/>
          <w:szCs w:val="21"/>
          <w:lang w:val="en-US" w:eastAsia="zh-CN"/>
        </w:rPr>
        <w:t xml:space="preserve">  </w:t>
      </w:r>
      <w:r>
        <w:rPr>
          <w:rFonts w:hint="eastAsia" w:ascii="Arial" w:hAnsi="Arial" w:cs="Arial"/>
          <w:szCs w:val="21"/>
        </w:rPr>
        <w:t>日</w:t>
      </w:r>
    </w:p>
    <w:p w14:paraId="79FC6957">
      <w:pPr>
        <w:spacing w:line="360" w:lineRule="auto"/>
      </w:pPr>
    </w:p>
    <w:p w14:paraId="5E068D72">
      <w:pPr>
        <w:spacing w:line="400" w:lineRule="exact"/>
        <w:ind w:firstLine="420" w:firstLineChars="200"/>
        <w:rPr>
          <w:rFonts w:ascii="Arial" w:hAnsi="Arial" w:cs="Arial"/>
          <w:szCs w:val="21"/>
        </w:rPr>
      </w:pPr>
      <w:r>
        <w:rPr>
          <w:rFonts w:hint="eastAsia" w:ascii="Arial" w:hAnsi="Arial" w:cs="Arial"/>
          <w:szCs w:val="21"/>
        </w:rPr>
        <w:t>根据《中华人民共和国政府采购法》、《政府采购货物和服务招标投标管理办法》、《中华人民共和国民法典》等法律、法规规定，按照公开询价文件规定条款和乙方提供的采购需求及响应报价表，甲乙双方签订本合同。</w:t>
      </w:r>
    </w:p>
    <w:p w14:paraId="4E81F896">
      <w:pPr>
        <w:snapToGrid w:val="0"/>
        <w:spacing w:line="400" w:lineRule="exact"/>
        <w:ind w:firstLine="422" w:firstLineChars="200"/>
        <w:rPr>
          <w:rFonts w:ascii="Arial" w:hAnsi="Arial" w:cs="Arial"/>
          <w:b/>
          <w:szCs w:val="21"/>
        </w:rPr>
      </w:pPr>
      <w:r>
        <w:rPr>
          <w:rFonts w:hint="eastAsia" w:ascii="Arial" w:hAnsi="Arial" w:cs="Arial"/>
          <w:b/>
          <w:szCs w:val="21"/>
        </w:rPr>
        <w:t>第一条　合同标的</w:t>
      </w:r>
    </w:p>
    <w:p w14:paraId="5A668419">
      <w:pPr>
        <w:numPr>
          <w:ilvl w:val="0"/>
          <w:numId w:val="1"/>
        </w:numPr>
        <w:snapToGrid w:val="0"/>
        <w:spacing w:afterLines="30" w:line="400" w:lineRule="exact"/>
        <w:ind w:left="777" w:hanging="357"/>
        <w:rPr>
          <w:rFonts w:ascii="Arial" w:hAnsi="Arial" w:cs="Arial"/>
          <w:szCs w:val="21"/>
        </w:rPr>
      </w:pPr>
      <w:r>
        <w:rPr>
          <w:rFonts w:hint="eastAsia" w:ascii="Arial" w:hAnsi="Arial" w:cs="Arial"/>
          <w:szCs w:val="21"/>
        </w:rPr>
        <w:t>供货一览表</w:t>
      </w:r>
    </w:p>
    <w:tbl>
      <w:tblPr>
        <w:tblStyle w:val="4"/>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578"/>
        <w:gridCol w:w="1476"/>
        <w:gridCol w:w="924"/>
        <w:gridCol w:w="1769"/>
        <w:gridCol w:w="1491"/>
        <w:gridCol w:w="1045"/>
        <w:gridCol w:w="798"/>
        <w:gridCol w:w="992"/>
        <w:gridCol w:w="1061"/>
      </w:tblGrid>
      <w:tr w14:paraId="4A66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67"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1084614B">
            <w:pPr>
              <w:adjustRightInd w:val="0"/>
              <w:snapToGrid w:val="0"/>
              <w:spacing w:line="340" w:lineRule="exact"/>
              <w:jc w:val="center"/>
              <w:rPr>
                <w:rFonts w:ascii="Arial" w:hAnsi="Arial" w:cs="Arial"/>
                <w:b/>
                <w:szCs w:val="21"/>
              </w:rPr>
            </w:pPr>
            <w:r>
              <w:rPr>
                <w:rFonts w:ascii="Arial" w:hAnsi="Arial" w:cs="Arial"/>
                <w:b/>
                <w:szCs w:val="21"/>
              </w:rPr>
              <w:t>序号</w:t>
            </w:r>
          </w:p>
        </w:tc>
        <w:tc>
          <w:tcPr>
            <w:tcW w:w="1476" w:type="dxa"/>
            <w:tcBorders>
              <w:top w:val="single" w:color="auto" w:sz="4" w:space="0"/>
              <w:left w:val="single" w:color="auto" w:sz="4" w:space="0"/>
              <w:bottom w:val="single" w:color="auto" w:sz="4" w:space="0"/>
              <w:right w:val="single" w:color="auto" w:sz="4" w:space="0"/>
            </w:tcBorders>
            <w:noWrap/>
            <w:vAlign w:val="center"/>
          </w:tcPr>
          <w:p w14:paraId="3AD62CA2">
            <w:pPr>
              <w:adjustRightInd w:val="0"/>
              <w:snapToGrid w:val="0"/>
              <w:spacing w:line="340" w:lineRule="exact"/>
              <w:jc w:val="center"/>
              <w:rPr>
                <w:rFonts w:ascii="Arial" w:hAnsi="Arial" w:cs="Arial"/>
                <w:b/>
                <w:szCs w:val="21"/>
              </w:rPr>
            </w:pPr>
            <w:r>
              <w:rPr>
                <w:rFonts w:ascii="Arial" w:hAnsi="Arial" w:cs="Arial"/>
                <w:b/>
                <w:szCs w:val="21"/>
              </w:rPr>
              <w:t>标的名称</w:t>
            </w:r>
          </w:p>
        </w:tc>
        <w:tc>
          <w:tcPr>
            <w:tcW w:w="924" w:type="dxa"/>
            <w:tcBorders>
              <w:top w:val="single" w:color="auto" w:sz="4" w:space="0"/>
              <w:left w:val="single" w:color="auto" w:sz="4" w:space="0"/>
              <w:bottom w:val="single" w:color="auto" w:sz="4" w:space="0"/>
              <w:right w:val="single" w:color="auto" w:sz="4" w:space="0"/>
            </w:tcBorders>
            <w:noWrap/>
            <w:vAlign w:val="center"/>
          </w:tcPr>
          <w:p w14:paraId="2A73D6E4">
            <w:pPr>
              <w:adjustRightInd w:val="0"/>
              <w:snapToGrid w:val="0"/>
              <w:spacing w:line="340" w:lineRule="exact"/>
              <w:jc w:val="center"/>
              <w:rPr>
                <w:rFonts w:ascii="Arial" w:hAnsi="Arial" w:cs="Arial"/>
                <w:b/>
                <w:szCs w:val="21"/>
              </w:rPr>
            </w:pPr>
            <w:r>
              <w:rPr>
                <w:rFonts w:ascii="Arial" w:hAnsi="Arial" w:cs="Arial"/>
                <w:b/>
                <w:szCs w:val="21"/>
              </w:rPr>
              <w:t>商标</w:t>
            </w:r>
          </w:p>
          <w:p w14:paraId="425E2604">
            <w:pPr>
              <w:adjustRightInd w:val="0"/>
              <w:snapToGrid w:val="0"/>
              <w:spacing w:line="340" w:lineRule="exact"/>
              <w:jc w:val="center"/>
              <w:rPr>
                <w:rFonts w:ascii="Arial" w:hAnsi="Arial" w:cs="Arial"/>
                <w:b/>
                <w:szCs w:val="21"/>
              </w:rPr>
            </w:pPr>
            <w:r>
              <w:rPr>
                <w:rFonts w:ascii="Arial" w:hAnsi="Arial" w:cs="Arial"/>
                <w:b/>
                <w:szCs w:val="21"/>
              </w:rPr>
              <w:t>品牌</w:t>
            </w:r>
          </w:p>
        </w:tc>
        <w:tc>
          <w:tcPr>
            <w:tcW w:w="1769" w:type="dxa"/>
            <w:tcBorders>
              <w:top w:val="single" w:color="auto" w:sz="4" w:space="0"/>
              <w:left w:val="single" w:color="auto" w:sz="4" w:space="0"/>
              <w:bottom w:val="single" w:color="auto" w:sz="4" w:space="0"/>
              <w:right w:val="single" w:color="auto" w:sz="4" w:space="0"/>
            </w:tcBorders>
            <w:noWrap/>
            <w:vAlign w:val="center"/>
          </w:tcPr>
          <w:p w14:paraId="69BB087E">
            <w:pPr>
              <w:adjustRightInd w:val="0"/>
              <w:snapToGrid w:val="0"/>
              <w:spacing w:line="340" w:lineRule="exact"/>
              <w:jc w:val="center"/>
              <w:rPr>
                <w:rFonts w:ascii="Arial" w:hAnsi="Arial" w:cs="Arial"/>
                <w:b/>
                <w:szCs w:val="21"/>
              </w:rPr>
            </w:pPr>
            <w:r>
              <w:rPr>
                <w:rFonts w:ascii="Arial" w:hAnsi="Arial" w:cs="Arial"/>
                <w:b/>
                <w:szCs w:val="21"/>
              </w:rPr>
              <w:t>规格型号</w:t>
            </w:r>
          </w:p>
        </w:tc>
        <w:tc>
          <w:tcPr>
            <w:tcW w:w="1491" w:type="dxa"/>
            <w:tcBorders>
              <w:top w:val="single" w:color="auto" w:sz="4" w:space="0"/>
              <w:left w:val="single" w:color="auto" w:sz="4" w:space="0"/>
              <w:bottom w:val="single" w:color="auto" w:sz="4" w:space="0"/>
              <w:right w:val="single" w:color="auto" w:sz="4" w:space="0"/>
            </w:tcBorders>
            <w:noWrap/>
            <w:vAlign w:val="center"/>
          </w:tcPr>
          <w:p w14:paraId="5452EFDD">
            <w:pPr>
              <w:adjustRightInd w:val="0"/>
              <w:snapToGrid w:val="0"/>
              <w:spacing w:line="340" w:lineRule="exact"/>
              <w:jc w:val="center"/>
              <w:rPr>
                <w:rFonts w:ascii="Arial" w:hAnsi="Arial" w:cs="Arial"/>
                <w:b/>
                <w:szCs w:val="21"/>
              </w:rPr>
            </w:pPr>
            <w:r>
              <w:rPr>
                <w:rFonts w:ascii="Arial" w:hAnsi="Arial" w:cs="Arial"/>
                <w:b/>
                <w:szCs w:val="21"/>
              </w:rPr>
              <w:t>生产厂家</w:t>
            </w:r>
          </w:p>
        </w:tc>
        <w:tc>
          <w:tcPr>
            <w:tcW w:w="1045" w:type="dxa"/>
            <w:tcBorders>
              <w:top w:val="single" w:color="auto" w:sz="4" w:space="0"/>
              <w:left w:val="single" w:color="auto" w:sz="4" w:space="0"/>
              <w:bottom w:val="single" w:color="auto" w:sz="4" w:space="0"/>
              <w:right w:val="single" w:color="auto" w:sz="4" w:space="0"/>
            </w:tcBorders>
            <w:noWrap/>
            <w:vAlign w:val="center"/>
          </w:tcPr>
          <w:p w14:paraId="505259DC">
            <w:pPr>
              <w:adjustRightInd w:val="0"/>
              <w:snapToGrid w:val="0"/>
              <w:spacing w:line="340" w:lineRule="exact"/>
              <w:jc w:val="center"/>
              <w:rPr>
                <w:rFonts w:ascii="Arial" w:hAnsi="Arial" w:cs="Arial"/>
                <w:b/>
                <w:szCs w:val="21"/>
              </w:rPr>
            </w:pPr>
            <w:r>
              <w:rPr>
                <w:rFonts w:ascii="Arial" w:hAnsi="Arial" w:cs="Arial"/>
                <w:b/>
                <w:szCs w:val="21"/>
              </w:rPr>
              <w:t>产地</w:t>
            </w:r>
          </w:p>
        </w:tc>
        <w:tc>
          <w:tcPr>
            <w:tcW w:w="798" w:type="dxa"/>
            <w:tcBorders>
              <w:top w:val="single" w:color="auto" w:sz="4" w:space="0"/>
              <w:left w:val="single" w:color="auto" w:sz="4" w:space="0"/>
              <w:bottom w:val="single" w:color="auto" w:sz="4" w:space="0"/>
              <w:right w:val="single" w:color="auto" w:sz="4" w:space="0"/>
            </w:tcBorders>
            <w:noWrap/>
            <w:vAlign w:val="center"/>
          </w:tcPr>
          <w:p w14:paraId="751C563A">
            <w:pPr>
              <w:adjustRightInd w:val="0"/>
              <w:snapToGrid w:val="0"/>
              <w:spacing w:line="340" w:lineRule="exact"/>
              <w:jc w:val="center"/>
              <w:rPr>
                <w:rFonts w:ascii="Arial" w:hAnsi="Arial" w:cs="Arial"/>
                <w:b/>
                <w:szCs w:val="21"/>
              </w:rPr>
            </w:pPr>
            <w:r>
              <w:rPr>
                <w:rFonts w:ascii="Arial" w:hAnsi="Arial" w:cs="Arial"/>
                <w:b/>
                <w:szCs w:val="21"/>
              </w:rPr>
              <w:t>数量及单位</w:t>
            </w:r>
          </w:p>
        </w:tc>
        <w:tc>
          <w:tcPr>
            <w:tcW w:w="992" w:type="dxa"/>
            <w:tcBorders>
              <w:top w:val="single" w:color="auto" w:sz="4" w:space="0"/>
              <w:left w:val="single" w:color="auto" w:sz="4" w:space="0"/>
              <w:bottom w:val="single" w:color="auto" w:sz="4" w:space="0"/>
              <w:right w:val="single" w:color="auto" w:sz="4" w:space="0"/>
            </w:tcBorders>
            <w:noWrap/>
            <w:vAlign w:val="center"/>
          </w:tcPr>
          <w:p w14:paraId="6D1C66FC">
            <w:pPr>
              <w:adjustRightInd w:val="0"/>
              <w:snapToGrid w:val="0"/>
              <w:spacing w:line="340" w:lineRule="exact"/>
              <w:jc w:val="center"/>
              <w:rPr>
                <w:rFonts w:ascii="Arial" w:hAnsi="Arial" w:cs="Arial"/>
                <w:b/>
                <w:szCs w:val="21"/>
              </w:rPr>
            </w:pPr>
            <w:r>
              <w:rPr>
                <w:rFonts w:ascii="Arial" w:hAnsi="Arial" w:cs="Arial"/>
                <w:b/>
                <w:szCs w:val="21"/>
              </w:rPr>
              <w:t>单价</w:t>
            </w:r>
          </w:p>
          <w:p w14:paraId="1599D086">
            <w:pPr>
              <w:adjustRightInd w:val="0"/>
              <w:snapToGrid w:val="0"/>
              <w:spacing w:line="340" w:lineRule="exact"/>
              <w:jc w:val="center"/>
              <w:rPr>
                <w:rFonts w:ascii="Arial" w:hAnsi="Arial" w:cs="Arial"/>
                <w:b/>
                <w:szCs w:val="21"/>
              </w:rPr>
            </w:pPr>
            <w:r>
              <w:rPr>
                <w:rFonts w:ascii="Arial" w:hAnsi="Arial" w:cs="Arial"/>
                <w:b/>
                <w:szCs w:val="21"/>
              </w:rPr>
              <w:t>（元）</w:t>
            </w:r>
          </w:p>
        </w:tc>
        <w:tc>
          <w:tcPr>
            <w:tcW w:w="1061" w:type="dxa"/>
            <w:tcBorders>
              <w:top w:val="single" w:color="auto" w:sz="4" w:space="0"/>
              <w:left w:val="single" w:color="auto" w:sz="4" w:space="0"/>
              <w:bottom w:val="single" w:color="auto" w:sz="4" w:space="0"/>
              <w:right w:val="single" w:color="auto" w:sz="4" w:space="0"/>
            </w:tcBorders>
            <w:noWrap/>
            <w:vAlign w:val="center"/>
          </w:tcPr>
          <w:p w14:paraId="4717A95A">
            <w:pPr>
              <w:adjustRightInd w:val="0"/>
              <w:snapToGrid w:val="0"/>
              <w:spacing w:line="340" w:lineRule="exact"/>
              <w:jc w:val="center"/>
              <w:rPr>
                <w:rFonts w:ascii="Arial" w:hAnsi="Arial" w:cs="Arial"/>
                <w:b/>
                <w:szCs w:val="21"/>
              </w:rPr>
            </w:pPr>
            <w:r>
              <w:rPr>
                <w:rFonts w:ascii="Arial" w:hAnsi="Arial" w:cs="Arial"/>
                <w:b/>
                <w:szCs w:val="21"/>
              </w:rPr>
              <w:t>金额</w:t>
            </w:r>
          </w:p>
          <w:p w14:paraId="6A8AE64F">
            <w:pPr>
              <w:adjustRightInd w:val="0"/>
              <w:snapToGrid w:val="0"/>
              <w:spacing w:line="340" w:lineRule="exact"/>
              <w:jc w:val="center"/>
              <w:rPr>
                <w:rFonts w:ascii="Arial" w:hAnsi="Arial" w:cs="Arial"/>
                <w:b/>
                <w:szCs w:val="21"/>
              </w:rPr>
            </w:pPr>
            <w:r>
              <w:rPr>
                <w:rFonts w:ascii="Arial" w:hAnsi="Arial" w:cs="Arial"/>
                <w:b/>
                <w:szCs w:val="21"/>
              </w:rPr>
              <w:t>（元）</w:t>
            </w:r>
          </w:p>
        </w:tc>
      </w:tr>
      <w:tr w14:paraId="0D03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528FF358">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single" w:color="auto" w:sz="4" w:space="0"/>
              <w:left w:val="single" w:color="auto" w:sz="4" w:space="0"/>
              <w:bottom w:val="single" w:color="auto" w:sz="4" w:space="0"/>
              <w:right w:val="single" w:color="auto" w:sz="4" w:space="0"/>
            </w:tcBorders>
            <w:noWrap/>
            <w:vAlign w:val="center"/>
          </w:tcPr>
          <w:p w14:paraId="3AB245D2">
            <w:pPr>
              <w:adjustRightInd w:val="0"/>
              <w:snapToGrid w:val="0"/>
              <w:spacing w:line="340" w:lineRule="exact"/>
              <w:jc w:val="center"/>
              <w:rPr>
                <w:rFonts w:ascii="Arial" w:hAnsi="Arial" w:cs="Arial"/>
                <w:szCs w:val="21"/>
              </w:rPr>
            </w:pPr>
          </w:p>
        </w:tc>
        <w:tc>
          <w:tcPr>
            <w:tcW w:w="924" w:type="dxa"/>
            <w:tcBorders>
              <w:top w:val="single" w:color="auto" w:sz="4" w:space="0"/>
              <w:left w:val="single" w:color="auto" w:sz="4" w:space="0"/>
              <w:bottom w:val="single" w:color="auto" w:sz="4" w:space="0"/>
              <w:right w:val="single" w:color="auto" w:sz="4" w:space="0"/>
            </w:tcBorders>
            <w:noWrap/>
            <w:vAlign w:val="center"/>
          </w:tcPr>
          <w:p w14:paraId="0921EEE3">
            <w:pPr>
              <w:adjustRightInd w:val="0"/>
              <w:snapToGrid w:val="0"/>
              <w:spacing w:line="340" w:lineRule="exact"/>
              <w:jc w:val="center"/>
              <w:rPr>
                <w:rFonts w:ascii="Arial" w:hAnsi="Arial" w:cs="Arial"/>
                <w:szCs w:val="21"/>
              </w:rPr>
            </w:pPr>
          </w:p>
        </w:tc>
        <w:tc>
          <w:tcPr>
            <w:tcW w:w="1769" w:type="dxa"/>
            <w:tcBorders>
              <w:top w:val="single" w:color="auto" w:sz="4" w:space="0"/>
              <w:left w:val="single" w:color="auto" w:sz="4" w:space="0"/>
              <w:bottom w:val="single" w:color="auto" w:sz="4" w:space="0"/>
              <w:right w:val="single" w:color="auto" w:sz="4" w:space="0"/>
            </w:tcBorders>
            <w:noWrap/>
            <w:vAlign w:val="center"/>
          </w:tcPr>
          <w:p w14:paraId="7A166145">
            <w:pPr>
              <w:adjustRightInd w:val="0"/>
              <w:snapToGrid w:val="0"/>
              <w:spacing w:line="340" w:lineRule="exact"/>
              <w:jc w:val="center"/>
              <w:rPr>
                <w:rFonts w:ascii="Arial" w:hAnsi="Arial" w:cs="Arial"/>
                <w:szCs w:val="21"/>
              </w:rPr>
            </w:pPr>
          </w:p>
        </w:tc>
        <w:tc>
          <w:tcPr>
            <w:tcW w:w="1491" w:type="dxa"/>
            <w:tcBorders>
              <w:top w:val="single" w:color="auto" w:sz="4" w:space="0"/>
              <w:left w:val="single" w:color="auto" w:sz="4" w:space="0"/>
              <w:bottom w:val="single" w:color="auto" w:sz="4" w:space="0"/>
              <w:right w:val="single" w:color="auto" w:sz="4" w:space="0"/>
            </w:tcBorders>
            <w:noWrap/>
            <w:vAlign w:val="center"/>
          </w:tcPr>
          <w:p w14:paraId="0E36234A">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2B6461B2">
            <w:pPr>
              <w:adjustRightInd w:val="0"/>
              <w:snapToGrid w:val="0"/>
              <w:spacing w:line="340" w:lineRule="exact"/>
              <w:jc w:val="center"/>
              <w:rPr>
                <w:rFonts w:ascii="Arial" w:hAnsi="Arial" w:cs="Arial"/>
                <w:szCs w:val="21"/>
              </w:rPr>
            </w:pPr>
          </w:p>
        </w:tc>
        <w:tc>
          <w:tcPr>
            <w:tcW w:w="798" w:type="dxa"/>
            <w:tcBorders>
              <w:top w:val="single" w:color="auto" w:sz="4" w:space="0"/>
              <w:left w:val="single" w:color="auto" w:sz="4" w:space="0"/>
              <w:bottom w:val="single" w:color="auto" w:sz="4" w:space="0"/>
              <w:right w:val="single" w:color="auto" w:sz="4" w:space="0"/>
            </w:tcBorders>
            <w:noWrap/>
            <w:vAlign w:val="center"/>
          </w:tcPr>
          <w:p w14:paraId="3078DB7D">
            <w:pPr>
              <w:adjustRightInd w:val="0"/>
              <w:snapToGrid w:val="0"/>
              <w:spacing w:line="340" w:lineRule="exact"/>
              <w:jc w:val="center"/>
              <w:rPr>
                <w:rFonts w:ascii="Arial" w:hAnsi="Arial" w:cs="Arial"/>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59969F8">
            <w:pPr>
              <w:adjustRightInd w:val="0"/>
              <w:snapToGrid w:val="0"/>
              <w:spacing w:line="340" w:lineRule="exact"/>
              <w:jc w:val="center"/>
              <w:rPr>
                <w:rFonts w:ascii="Arial" w:hAnsi="Arial" w:cs="Arial"/>
                <w:szCs w:val="21"/>
              </w:rPr>
            </w:pPr>
          </w:p>
        </w:tc>
        <w:tc>
          <w:tcPr>
            <w:tcW w:w="1061" w:type="dxa"/>
            <w:tcBorders>
              <w:top w:val="single" w:color="auto" w:sz="4" w:space="0"/>
              <w:left w:val="single" w:color="auto" w:sz="4" w:space="0"/>
              <w:bottom w:val="single" w:color="auto" w:sz="4" w:space="0"/>
              <w:right w:val="single" w:color="auto" w:sz="4" w:space="0"/>
            </w:tcBorders>
            <w:noWrap/>
            <w:vAlign w:val="center"/>
          </w:tcPr>
          <w:p w14:paraId="42AAD827">
            <w:pPr>
              <w:adjustRightInd w:val="0"/>
              <w:snapToGrid w:val="0"/>
              <w:spacing w:line="340" w:lineRule="exact"/>
              <w:jc w:val="center"/>
              <w:rPr>
                <w:rFonts w:ascii="Arial" w:hAnsi="Arial" w:cs="Arial"/>
                <w:szCs w:val="21"/>
              </w:rPr>
            </w:pPr>
          </w:p>
        </w:tc>
      </w:tr>
      <w:tr w14:paraId="2CD1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544BF683">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single" w:color="auto" w:sz="4" w:space="0"/>
              <w:left w:val="single" w:color="auto" w:sz="4" w:space="0"/>
              <w:bottom w:val="single" w:color="auto" w:sz="4" w:space="0"/>
              <w:right w:val="single" w:color="auto" w:sz="4" w:space="0"/>
            </w:tcBorders>
            <w:noWrap/>
            <w:vAlign w:val="center"/>
          </w:tcPr>
          <w:p w14:paraId="3E4076A4">
            <w:pPr>
              <w:adjustRightInd w:val="0"/>
              <w:snapToGrid w:val="0"/>
              <w:spacing w:line="340" w:lineRule="exact"/>
              <w:jc w:val="center"/>
              <w:rPr>
                <w:rFonts w:ascii="Arial" w:hAnsi="Arial" w:cs="Arial"/>
                <w:szCs w:val="21"/>
              </w:rPr>
            </w:pPr>
          </w:p>
        </w:tc>
        <w:tc>
          <w:tcPr>
            <w:tcW w:w="924" w:type="dxa"/>
            <w:tcBorders>
              <w:top w:val="single" w:color="auto" w:sz="4" w:space="0"/>
              <w:left w:val="single" w:color="auto" w:sz="4" w:space="0"/>
              <w:bottom w:val="single" w:color="auto" w:sz="4" w:space="0"/>
              <w:right w:val="single" w:color="auto" w:sz="4" w:space="0"/>
            </w:tcBorders>
            <w:noWrap/>
            <w:vAlign w:val="center"/>
          </w:tcPr>
          <w:p w14:paraId="6BC44E5D">
            <w:pPr>
              <w:adjustRightInd w:val="0"/>
              <w:snapToGrid w:val="0"/>
              <w:spacing w:line="340" w:lineRule="exact"/>
              <w:jc w:val="center"/>
              <w:rPr>
                <w:rFonts w:ascii="Arial" w:hAnsi="Arial" w:cs="Arial"/>
                <w:szCs w:val="21"/>
              </w:rPr>
            </w:pPr>
          </w:p>
        </w:tc>
        <w:tc>
          <w:tcPr>
            <w:tcW w:w="1769" w:type="dxa"/>
            <w:tcBorders>
              <w:top w:val="single" w:color="auto" w:sz="4" w:space="0"/>
              <w:left w:val="single" w:color="auto" w:sz="4" w:space="0"/>
              <w:bottom w:val="single" w:color="auto" w:sz="4" w:space="0"/>
              <w:right w:val="single" w:color="auto" w:sz="4" w:space="0"/>
            </w:tcBorders>
            <w:noWrap/>
            <w:vAlign w:val="center"/>
          </w:tcPr>
          <w:p w14:paraId="165BA738">
            <w:pPr>
              <w:adjustRightInd w:val="0"/>
              <w:snapToGrid w:val="0"/>
              <w:spacing w:line="340" w:lineRule="exact"/>
              <w:jc w:val="center"/>
              <w:rPr>
                <w:rFonts w:ascii="Arial" w:hAnsi="Arial" w:cs="Arial"/>
                <w:szCs w:val="21"/>
              </w:rPr>
            </w:pPr>
          </w:p>
        </w:tc>
        <w:tc>
          <w:tcPr>
            <w:tcW w:w="1491" w:type="dxa"/>
            <w:tcBorders>
              <w:top w:val="single" w:color="auto" w:sz="4" w:space="0"/>
              <w:left w:val="single" w:color="auto" w:sz="4" w:space="0"/>
              <w:bottom w:val="single" w:color="auto" w:sz="4" w:space="0"/>
              <w:right w:val="single" w:color="auto" w:sz="4" w:space="0"/>
            </w:tcBorders>
            <w:noWrap/>
            <w:vAlign w:val="center"/>
          </w:tcPr>
          <w:p w14:paraId="4547696A">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3CA2ACD6">
            <w:pPr>
              <w:adjustRightInd w:val="0"/>
              <w:snapToGrid w:val="0"/>
              <w:spacing w:line="340" w:lineRule="exact"/>
              <w:jc w:val="center"/>
              <w:rPr>
                <w:rFonts w:ascii="Arial" w:hAnsi="Arial" w:cs="Arial"/>
                <w:szCs w:val="21"/>
              </w:rPr>
            </w:pPr>
          </w:p>
        </w:tc>
        <w:tc>
          <w:tcPr>
            <w:tcW w:w="798" w:type="dxa"/>
            <w:tcBorders>
              <w:top w:val="single" w:color="auto" w:sz="4" w:space="0"/>
              <w:left w:val="single" w:color="auto" w:sz="4" w:space="0"/>
              <w:bottom w:val="single" w:color="auto" w:sz="4" w:space="0"/>
              <w:right w:val="single" w:color="auto" w:sz="4" w:space="0"/>
            </w:tcBorders>
            <w:noWrap/>
            <w:vAlign w:val="center"/>
          </w:tcPr>
          <w:p w14:paraId="7399B00A">
            <w:pPr>
              <w:adjustRightInd w:val="0"/>
              <w:snapToGrid w:val="0"/>
              <w:spacing w:line="340" w:lineRule="exact"/>
              <w:jc w:val="center"/>
              <w:rPr>
                <w:rFonts w:ascii="Arial" w:hAnsi="Arial" w:cs="Arial"/>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03DFB574">
            <w:pPr>
              <w:adjustRightInd w:val="0"/>
              <w:snapToGrid w:val="0"/>
              <w:spacing w:line="340" w:lineRule="exact"/>
              <w:jc w:val="center"/>
              <w:rPr>
                <w:rFonts w:ascii="Arial" w:hAnsi="Arial" w:cs="Arial"/>
                <w:szCs w:val="21"/>
              </w:rPr>
            </w:pPr>
          </w:p>
        </w:tc>
        <w:tc>
          <w:tcPr>
            <w:tcW w:w="1061" w:type="dxa"/>
            <w:tcBorders>
              <w:top w:val="single" w:color="auto" w:sz="4" w:space="0"/>
              <w:left w:val="single" w:color="auto" w:sz="4" w:space="0"/>
              <w:bottom w:val="single" w:color="auto" w:sz="4" w:space="0"/>
              <w:right w:val="single" w:color="auto" w:sz="4" w:space="0"/>
            </w:tcBorders>
            <w:noWrap/>
            <w:vAlign w:val="center"/>
          </w:tcPr>
          <w:p w14:paraId="374EFB19">
            <w:pPr>
              <w:adjustRightInd w:val="0"/>
              <w:snapToGrid w:val="0"/>
              <w:spacing w:line="340" w:lineRule="exact"/>
              <w:jc w:val="center"/>
              <w:rPr>
                <w:rFonts w:ascii="Arial" w:hAnsi="Arial" w:cs="Arial"/>
                <w:szCs w:val="21"/>
              </w:rPr>
            </w:pPr>
          </w:p>
        </w:tc>
      </w:tr>
      <w:tr w14:paraId="06E2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38288E25">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single" w:color="auto" w:sz="4" w:space="0"/>
              <w:left w:val="single" w:color="auto" w:sz="4" w:space="0"/>
              <w:bottom w:val="single" w:color="auto" w:sz="4" w:space="0"/>
              <w:right w:val="single" w:color="auto" w:sz="4" w:space="0"/>
            </w:tcBorders>
            <w:noWrap/>
            <w:vAlign w:val="center"/>
          </w:tcPr>
          <w:p w14:paraId="4CC691B4">
            <w:pPr>
              <w:adjustRightInd w:val="0"/>
              <w:snapToGrid w:val="0"/>
              <w:spacing w:line="340" w:lineRule="exact"/>
              <w:jc w:val="center"/>
              <w:rPr>
                <w:rFonts w:ascii="Arial" w:hAnsi="Arial" w:cs="Arial"/>
                <w:szCs w:val="21"/>
              </w:rPr>
            </w:pPr>
          </w:p>
        </w:tc>
        <w:tc>
          <w:tcPr>
            <w:tcW w:w="924" w:type="dxa"/>
            <w:tcBorders>
              <w:top w:val="single" w:color="auto" w:sz="4" w:space="0"/>
              <w:left w:val="single" w:color="auto" w:sz="4" w:space="0"/>
              <w:bottom w:val="single" w:color="auto" w:sz="4" w:space="0"/>
              <w:right w:val="single" w:color="auto" w:sz="4" w:space="0"/>
            </w:tcBorders>
            <w:noWrap/>
            <w:vAlign w:val="center"/>
          </w:tcPr>
          <w:p w14:paraId="78AEF451">
            <w:pPr>
              <w:adjustRightInd w:val="0"/>
              <w:snapToGrid w:val="0"/>
              <w:spacing w:line="340" w:lineRule="exact"/>
              <w:jc w:val="center"/>
              <w:rPr>
                <w:rFonts w:ascii="Arial" w:hAnsi="Arial" w:cs="Arial"/>
                <w:szCs w:val="21"/>
              </w:rPr>
            </w:pPr>
          </w:p>
        </w:tc>
        <w:tc>
          <w:tcPr>
            <w:tcW w:w="1769" w:type="dxa"/>
            <w:tcBorders>
              <w:top w:val="single" w:color="auto" w:sz="4" w:space="0"/>
              <w:left w:val="single" w:color="auto" w:sz="4" w:space="0"/>
              <w:bottom w:val="single" w:color="auto" w:sz="4" w:space="0"/>
              <w:right w:val="single" w:color="auto" w:sz="4" w:space="0"/>
            </w:tcBorders>
            <w:noWrap/>
            <w:vAlign w:val="center"/>
          </w:tcPr>
          <w:p w14:paraId="45739DE6">
            <w:pPr>
              <w:adjustRightInd w:val="0"/>
              <w:snapToGrid w:val="0"/>
              <w:spacing w:line="340" w:lineRule="exact"/>
              <w:jc w:val="center"/>
              <w:rPr>
                <w:rFonts w:ascii="Arial" w:hAnsi="Arial" w:cs="Arial"/>
                <w:szCs w:val="21"/>
              </w:rPr>
            </w:pPr>
          </w:p>
        </w:tc>
        <w:tc>
          <w:tcPr>
            <w:tcW w:w="1491" w:type="dxa"/>
            <w:tcBorders>
              <w:top w:val="single" w:color="auto" w:sz="4" w:space="0"/>
              <w:left w:val="single" w:color="auto" w:sz="4" w:space="0"/>
              <w:bottom w:val="single" w:color="auto" w:sz="4" w:space="0"/>
              <w:right w:val="single" w:color="auto" w:sz="4" w:space="0"/>
            </w:tcBorders>
            <w:noWrap/>
            <w:vAlign w:val="center"/>
          </w:tcPr>
          <w:p w14:paraId="29F90C37">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6FA589AC">
            <w:pPr>
              <w:adjustRightInd w:val="0"/>
              <w:snapToGrid w:val="0"/>
              <w:spacing w:line="340" w:lineRule="exact"/>
              <w:jc w:val="center"/>
              <w:rPr>
                <w:rFonts w:ascii="Arial" w:hAnsi="Arial" w:cs="Arial"/>
                <w:szCs w:val="21"/>
              </w:rPr>
            </w:pPr>
          </w:p>
        </w:tc>
        <w:tc>
          <w:tcPr>
            <w:tcW w:w="798" w:type="dxa"/>
            <w:tcBorders>
              <w:top w:val="single" w:color="auto" w:sz="4" w:space="0"/>
              <w:left w:val="single" w:color="auto" w:sz="4" w:space="0"/>
              <w:bottom w:val="single" w:color="auto" w:sz="4" w:space="0"/>
              <w:right w:val="single" w:color="auto" w:sz="4" w:space="0"/>
            </w:tcBorders>
            <w:noWrap/>
            <w:vAlign w:val="center"/>
          </w:tcPr>
          <w:p w14:paraId="5C5F1B52">
            <w:pPr>
              <w:adjustRightInd w:val="0"/>
              <w:snapToGrid w:val="0"/>
              <w:spacing w:line="340" w:lineRule="exact"/>
              <w:jc w:val="center"/>
              <w:rPr>
                <w:rFonts w:ascii="Arial" w:hAnsi="Arial" w:cs="Arial"/>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B96D1AB">
            <w:pPr>
              <w:adjustRightInd w:val="0"/>
              <w:snapToGrid w:val="0"/>
              <w:spacing w:line="340" w:lineRule="exact"/>
              <w:jc w:val="center"/>
              <w:rPr>
                <w:rFonts w:ascii="Arial" w:hAnsi="Arial" w:cs="Arial"/>
                <w:szCs w:val="21"/>
              </w:rPr>
            </w:pPr>
          </w:p>
        </w:tc>
        <w:tc>
          <w:tcPr>
            <w:tcW w:w="1061" w:type="dxa"/>
            <w:tcBorders>
              <w:top w:val="single" w:color="auto" w:sz="4" w:space="0"/>
              <w:left w:val="single" w:color="auto" w:sz="4" w:space="0"/>
              <w:bottom w:val="single" w:color="auto" w:sz="4" w:space="0"/>
              <w:right w:val="single" w:color="auto" w:sz="4" w:space="0"/>
            </w:tcBorders>
            <w:noWrap/>
            <w:vAlign w:val="center"/>
          </w:tcPr>
          <w:p w14:paraId="495B4F1D">
            <w:pPr>
              <w:adjustRightInd w:val="0"/>
              <w:snapToGrid w:val="0"/>
              <w:spacing w:line="340" w:lineRule="exact"/>
              <w:jc w:val="center"/>
              <w:rPr>
                <w:rFonts w:ascii="Arial" w:hAnsi="Arial" w:cs="Arial"/>
                <w:szCs w:val="21"/>
              </w:rPr>
            </w:pPr>
          </w:p>
        </w:tc>
      </w:tr>
      <w:tr w14:paraId="6DD0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67" w:hRule="atLeast"/>
          <w:jc w:val="center"/>
        </w:trPr>
        <w:tc>
          <w:tcPr>
            <w:tcW w:w="10134" w:type="dxa"/>
            <w:gridSpan w:val="9"/>
            <w:tcBorders>
              <w:top w:val="single" w:color="auto" w:sz="4" w:space="0"/>
              <w:left w:val="single" w:color="auto" w:sz="4" w:space="0"/>
              <w:bottom w:val="single" w:color="auto" w:sz="4" w:space="0"/>
              <w:right w:val="single" w:color="auto" w:sz="4" w:space="0"/>
            </w:tcBorders>
            <w:noWrap/>
            <w:vAlign w:val="center"/>
          </w:tcPr>
          <w:p w14:paraId="4049BF07">
            <w:pPr>
              <w:adjustRightInd w:val="0"/>
              <w:snapToGrid w:val="0"/>
              <w:spacing w:line="340" w:lineRule="exact"/>
              <w:jc w:val="left"/>
              <w:rPr>
                <w:rFonts w:ascii="Arial" w:hAnsi="Arial" w:cs="Arial"/>
                <w:szCs w:val="21"/>
              </w:rPr>
            </w:pPr>
            <w:r>
              <w:rPr>
                <w:rFonts w:ascii="Arial" w:hAnsi="Arial" w:cs="Arial"/>
                <w:b/>
                <w:szCs w:val="21"/>
              </w:rPr>
              <w:t>合同合计金额（大写）人民币</w:t>
            </w:r>
            <w:r>
              <w:rPr>
                <w:rFonts w:hint="eastAsia" w:ascii="Arial" w:hAnsi="Arial" w:cs="Arial"/>
                <w:b/>
                <w:szCs w:val="21"/>
              </w:rPr>
              <w:t>XXXXX</w:t>
            </w:r>
            <w:r>
              <w:rPr>
                <w:rFonts w:ascii="Arial" w:hAnsi="Arial" w:cs="Arial"/>
                <w:b/>
                <w:szCs w:val="21"/>
              </w:rPr>
              <w:t>元整 （小写）￥</w:t>
            </w:r>
            <w:r>
              <w:rPr>
                <w:rFonts w:hint="eastAsia" w:ascii="Arial" w:hAnsi="Arial" w:cs="Arial"/>
                <w:b/>
                <w:szCs w:val="21"/>
              </w:rPr>
              <w:t>XXXX</w:t>
            </w:r>
            <w:r>
              <w:rPr>
                <w:rFonts w:ascii="Arial" w:hAnsi="Arial" w:cs="Arial"/>
                <w:b/>
                <w:szCs w:val="21"/>
              </w:rPr>
              <w:t xml:space="preserve">.00 </w:t>
            </w:r>
          </w:p>
        </w:tc>
      </w:tr>
    </w:tbl>
    <w:p w14:paraId="2AE94937">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合同合计金额包括产品价、运输费（含装卸费）、保险费、安装调试费、税费、培训费、产品检测费、产品质保期内维护（如为进口货物在海关查验期间产生的滞留费）等费用。如招投标文件对其另有规定的，从其规定。除新增采购货物外，甲方不再另行支付任何费用。</w:t>
      </w:r>
    </w:p>
    <w:p w14:paraId="0C614885">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合同履行中，甲方需追加与合同标的相同的货物的，在不改变合同其他条款的前提下，可以与乙方协商签订补充合同，但所有补充合同的采购金额不得超过原合同采购金额的</w:t>
      </w:r>
      <w:r>
        <w:rPr>
          <w:rFonts w:ascii="Arial" w:hAnsi="Arial" w:cs="Arial"/>
          <w:szCs w:val="21"/>
        </w:rPr>
        <w:t>10%</w:t>
      </w:r>
      <w:r>
        <w:rPr>
          <w:rFonts w:hint="eastAsia" w:ascii="Arial" w:hAnsi="Arial" w:cs="Arial"/>
          <w:szCs w:val="21"/>
        </w:rPr>
        <w:t>。</w:t>
      </w:r>
    </w:p>
    <w:p w14:paraId="37CAD705">
      <w:pPr>
        <w:snapToGrid w:val="0"/>
        <w:spacing w:line="380" w:lineRule="exact"/>
        <w:ind w:firstLine="422" w:firstLineChars="200"/>
        <w:rPr>
          <w:rFonts w:ascii="Arial" w:hAnsi="Arial" w:cs="Arial"/>
          <w:szCs w:val="21"/>
        </w:rPr>
      </w:pPr>
      <w:r>
        <w:rPr>
          <w:rFonts w:hint="eastAsia" w:ascii="Arial" w:hAnsi="Arial" w:cs="Arial"/>
          <w:b/>
          <w:szCs w:val="21"/>
        </w:rPr>
        <w:t>第二条　质量保证</w:t>
      </w:r>
    </w:p>
    <w:p w14:paraId="31CA417C">
      <w:pPr>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乙方所提供的货物型号、技术规格、技术参数等质量必须与公开询价文件和采购需求及响应报价表相一致。</w:t>
      </w:r>
    </w:p>
    <w:p w14:paraId="56406A6B">
      <w:pPr>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乙方所提供的货物必须是全新、未使用的原装产品，且在正常安装、使用和保养条件下，其使用寿命期内各项指标均达到质量要求。</w:t>
      </w:r>
    </w:p>
    <w:p w14:paraId="12A703C0">
      <w:pPr>
        <w:snapToGrid w:val="0"/>
        <w:spacing w:line="380" w:lineRule="exact"/>
        <w:ind w:firstLine="422" w:firstLineChars="200"/>
        <w:rPr>
          <w:rFonts w:ascii="Arial" w:hAnsi="Arial" w:cs="Arial"/>
          <w:szCs w:val="21"/>
        </w:rPr>
      </w:pPr>
      <w:r>
        <w:rPr>
          <w:rFonts w:hint="eastAsia" w:ascii="Arial" w:hAnsi="Arial" w:cs="Arial"/>
          <w:b/>
          <w:szCs w:val="21"/>
        </w:rPr>
        <w:t>第三条权利保证</w:t>
      </w:r>
    </w:p>
    <w:p w14:paraId="47AA886E">
      <w:pPr>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乙方应保证所提供货物在使用时不会侵犯任何第三方的专利权、商标权、工业设计权或其他权利。</w:t>
      </w:r>
    </w:p>
    <w:p w14:paraId="6C44657F">
      <w:pPr>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乙方应按公开询价文件规定的时间向甲方提供使用货物的有关技术资料。</w:t>
      </w:r>
    </w:p>
    <w:p w14:paraId="0D5991E1">
      <w:pPr>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本保密条款长期有效，不因合同终止而失效。</w:t>
      </w:r>
    </w:p>
    <w:p w14:paraId="6E07A7EA">
      <w:pPr>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乙方保证所交付的货物的所有权完全属于乙方且无任何抵押、质押、查封等产权瑕疵。</w:t>
      </w:r>
    </w:p>
    <w:p w14:paraId="1E04714E">
      <w:pPr>
        <w:spacing w:line="380" w:lineRule="exact"/>
        <w:ind w:firstLine="420" w:firstLineChars="200"/>
        <w:rPr>
          <w:rFonts w:ascii="Arial" w:hAnsi="Arial" w:cs="Arial"/>
          <w:szCs w:val="21"/>
        </w:rPr>
      </w:pPr>
      <w:r>
        <w:rPr>
          <w:rFonts w:ascii="Arial" w:hAnsi="Arial" w:cs="Arial"/>
          <w:szCs w:val="21"/>
        </w:rPr>
        <w:t>5.</w:t>
      </w:r>
      <w:r>
        <w:rPr>
          <w:rFonts w:hint="eastAsia" w:ascii="Arial" w:hAnsi="Arial" w:cs="Arial"/>
          <w:szCs w:val="21"/>
        </w:rPr>
        <w:t>乙方保证有权自主地将货物出售给甲方，甲方在货物验收合格后享有货物的所有权，如乙方提供的货物违反上述要求，甲方有权要求退换，并要求乙方支付违约金。</w:t>
      </w:r>
    </w:p>
    <w:p w14:paraId="50888A39">
      <w:pPr>
        <w:snapToGrid w:val="0"/>
        <w:spacing w:line="380" w:lineRule="exact"/>
        <w:ind w:firstLine="422" w:firstLineChars="200"/>
        <w:rPr>
          <w:rFonts w:ascii="Arial" w:hAnsi="Arial" w:cs="Arial"/>
          <w:b/>
          <w:szCs w:val="21"/>
        </w:rPr>
      </w:pPr>
      <w:r>
        <w:rPr>
          <w:rFonts w:hint="eastAsia" w:ascii="Arial" w:hAnsi="Arial" w:cs="Arial"/>
          <w:b/>
          <w:szCs w:val="21"/>
        </w:rPr>
        <w:t>第四条包装和运输</w:t>
      </w:r>
    </w:p>
    <w:p w14:paraId="4C24FD1C">
      <w:pPr>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乙方提供的货物均应按招投标文件要求的包装材料、包装标准、包装方式进行包装，每一包装单元内应附详细的装箱单和质量合格证。</w:t>
      </w:r>
    </w:p>
    <w:p w14:paraId="4FBC63E8">
      <w:pPr>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货物的运输方式：</w:t>
      </w:r>
      <w:r>
        <w:rPr>
          <w:rFonts w:hint="eastAsia" w:ascii="Arial" w:hAnsi="Arial" w:cs="Arial"/>
          <w:szCs w:val="21"/>
          <w:u w:val="single"/>
        </w:rPr>
        <w:t>乙方自定</w:t>
      </w:r>
      <w:r>
        <w:rPr>
          <w:rFonts w:hint="eastAsia" w:ascii="Arial" w:hAnsi="Arial" w:cs="Arial"/>
          <w:szCs w:val="21"/>
        </w:rPr>
        <w:t>。</w:t>
      </w:r>
    </w:p>
    <w:p w14:paraId="7B00221C">
      <w:pPr>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乙方负责货物运输、卸货，货物运输合理损耗及计算方法：</w:t>
      </w:r>
      <w:r>
        <w:rPr>
          <w:rFonts w:hint="eastAsia" w:ascii="Arial" w:hAnsi="Arial" w:cs="Arial"/>
          <w:szCs w:val="21"/>
          <w:u w:val="single"/>
        </w:rPr>
        <w:t>由乙方负责</w:t>
      </w:r>
      <w:r>
        <w:rPr>
          <w:rFonts w:hint="eastAsia" w:ascii="Arial" w:hAnsi="Arial" w:cs="Arial"/>
          <w:szCs w:val="21"/>
        </w:rPr>
        <w:t>。</w:t>
      </w:r>
    </w:p>
    <w:p w14:paraId="0D77A071">
      <w:pPr>
        <w:snapToGrid w:val="0"/>
        <w:spacing w:line="380" w:lineRule="exact"/>
        <w:ind w:firstLine="422" w:firstLineChars="200"/>
        <w:rPr>
          <w:rFonts w:ascii="Arial" w:hAnsi="Arial" w:cs="Arial"/>
          <w:szCs w:val="21"/>
        </w:rPr>
      </w:pPr>
      <w:r>
        <w:rPr>
          <w:rFonts w:hint="eastAsia" w:ascii="Arial" w:hAnsi="Arial" w:cs="Arial"/>
          <w:b/>
          <w:szCs w:val="21"/>
        </w:rPr>
        <w:t>第五条交付和验收</w:t>
      </w:r>
    </w:p>
    <w:p w14:paraId="67AF1C4E">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交付使用时间：</w:t>
      </w:r>
      <w:r>
        <w:rPr>
          <w:rFonts w:ascii="Arial" w:hAnsi="Arial" w:cs="Arial"/>
          <w:kern w:val="0"/>
          <w:szCs w:val="21"/>
          <w:u w:val="single"/>
        </w:rPr>
        <w:t>自签订合同之日起30天内交货并安装调试完毕</w:t>
      </w:r>
      <w:r>
        <w:rPr>
          <w:rFonts w:ascii="Arial" w:hAnsi="Arial" w:cs="Arial"/>
          <w:szCs w:val="21"/>
        </w:rPr>
        <w:t>；</w:t>
      </w:r>
      <w:r>
        <w:rPr>
          <w:rFonts w:hint="eastAsia" w:ascii="Arial" w:hAnsi="Arial" w:cs="Arial"/>
          <w:szCs w:val="21"/>
        </w:rPr>
        <w:t>地点：</w:t>
      </w:r>
      <w:r>
        <w:rPr>
          <w:rFonts w:hint="eastAsia" w:ascii="Arial" w:hAnsi="Arial" w:cs="Arial"/>
          <w:szCs w:val="21"/>
          <w:u w:val="single"/>
        </w:rPr>
        <w:t>广西中医药大学，由甲方指定校区（南宁市）。</w:t>
      </w:r>
    </w:p>
    <w:p w14:paraId="0AB452F2">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乙方提供不符合招公开询价文件和本合同规定的货物，甲方有权拒绝接受，且不对货物承担任何保管责任，由乙方自行处置和承担货物退、换等风险和费用。</w:t>
      </w:r>
    </w:p>
    <w:p w14:paraId="073DC7E3">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乙方应将所提供货物的装箱清单、用户手册、原厂保修卡、随机资料、工具和备品、备件等交付给甲方，如有缺失应在供货期限内及时补齐，否则视为逾期交货。</w:t>
      </w:r>
    </w:p>
    <w:p w14:paraId="49FFD3D1">
      <w:pPr>
        <w:snapToGrid w:val="0"/>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甲方应当在到货并安装、调试完后七个工作日内进行验收，逾期不验收的，乙方可视同验收合格。如因甲方原因暂时不能安装、调试的货物，经双方签字确认后可视同验收合格。验收合格后由甲乙双方签署货物验收单并加盖采购单位公章，甲乙双方各执一份。甲方签字验收并不免除乙方按照合同约定履行安装、调试义务，乙方应在甲方通知之日起五日内派员安装、调试货物，如超期不能履行义务的，甲方有权追究乙方的违约责任。</w:t>
      </w:r>
    </w:p>
    <w:p w14:paraId="2EFD77A7">
      <w:pPr>
        <w:snapToGrid w:val="0"/>
        <w:spacing w:line="380" w:lineRule="exact"/>
        <w:ind w:firstLine="420" w:firstLineChars="200"/>
        <w:rPr>
          <w:rFonts w:ascii="Arial" w:hAnsi="Arial" w:cs="Arial"/>
          <w:szCs w:val="21"/>
        </w:rPr>
      </w:pPr>
      <w:r>
        <w:rPr>
          <w:rFonts w:ascii="Arial" w:hAnsi="Arial" w:cs="Arial"/>
          <w:szCs w:val="21"/>
        </w:rPr>
        <w:t>5.</w:t>
      </w:r>
      <w:r>
        <w:rPr>
          <w:rFonts w:hint="eastAsia" w:ascii="Arial" w:hAnsi="Arial" w:cs="Arial"/>
          <w:szCs w:val="21"/>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暂缓结算期间不视为甲方违约，不计算利息。</w:t>
      </w:r>
    </w:p>
    <w:p w14:paraId="29261B38">
      <w:pPr>
        <w:snapToGrid w:val="0"/>
        <w:spacing w:line="380" w:lineRule="exact"/>
        <w:ind w:firstLine="422" w:firstLineChars="200"/>
        <w:rPr>
          <w:rFonts w:ascii="Arial" w:hAnsi="Arial" w:cs="Arial"/>
          <w:b/>
          <w:szCs w:val="21"/>
        </w:rPr>
      </w:pPr>
      <w:r>
        <w:rPr>
          <w:rFonts w:hint="eastAsia" w:ascii="Arial" w:hAnsi="Arial" w:cs="Arial"/>
          <w:b/>
          <w:szCs w:val="21"/>
        </w:rPr>
        <w:t>第六条安装和培训</w:t>
      </w:r>
    </w:p>
    <w:p w14:paraId="102A6C15">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甲方应提供必要安装条件（如场地、电源、水源等）。</w:t>
      </w:r>
    </w:p>
    <w:p w14:paraId="0DE4DEEC">
      <w:pPr>
        <w:snapToGrid w:val="0"/>
        <w:spacing w:line="380" w:lineRule="exact"/>
        <w:ind w:firstLine="420" w:firstLineChars="200"/>
        <w:rPr>
          <w:rFonts w:ascii="Arial" w:hAnsi="Arial" w:cs="Arial"/>
          <w:szCs w:val="21"/>
          <w:u w:val="single"/>
        </w:rPr>
      </w:pPr>
      <w:r>
        <w:rPr>
          <w:rFonts w:ascii="Arial" w:hAnsi="Arial" w:cs="Arial"/>
          <w:szCs w:val="21"/>
        </w:rPr>
        <w:t>2.</w:t>
      </w:r>
      <w:r>
        <w:rPr>
          <w:rFonts w:hint="eastAsia" w:ascii="Arial" w:hAnsi="Arial" w:cs="Arial"/>
          <w:szCs w:val="21"/>
        </w:rPr>
        <w:t>乙方对其提供产品或服务的使用和操作应尽培训义务。乙方应提供对甲方仪器设备使用人员的基本培训，使甲方仪器设备使用人员熟练掌握所培训内容，熟练掌握全部功能，培训的相关费用包括在投标报价中，甲方不再另行支付。培训时间、地点：</w:t>
      </w:r>
      <w:r>
        <w:rPr>
          <w:rFonts w:hint="eastAsia" w:ascii="Arial" w:hAnsi="Arial" w:cs="Arial"/>
          <w:szCs w:val="21"/>
          <w:u w:val="single"/>
        </w:rPr>
        <w:t>由甲方决定。</w:t>
      </w:r>
    </w:p>
    <w:p w14:paraId="38D0E2FA">
      <w:pPr>
        <w:snapToGrid w:val="0"/>
        <w:spacing w:line="380" w:lineRule="exact"/>
        <w:ind w:firstLine="422" w:firstLineChars="200"/>
        <w:rPr>
          <w:rFonts w:ascii="Arial" w:hAnsi="Arial" w:cs="Arial"/>
          <w:b/>
          <w:szCs w:val="21"/>
        </w:rPr>
      </w:pPr>
      <w:r>
        <w:rPr>
          <w:rFonts w:hint="eastAsia" w:ascii="Arial" w:hAnsi="Arial" w:cs="Arial"/>
          <w:b/>
          <w:szCs w:val="21"/>
        </w:rPr>
        <w:t>第七条售后服务、质保期</w:t>
      </w:r>
    </w:p>
    <w:p w14:paraId="5582C532">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乙方应按照国家有关法律法规和</w:t>
      </w:r>
      <w:r>
        <w:rPr>
          <w:rFonts w:ascii="Arial" w:hAnsi="Arial" w:cs="Arial"/>
          <w:szCs w:val="21"/>
        </w:rPr>
        <w:t>“</w:t>
      </w:r>
      <w:r>
        <w:rPr>
          <w:rFonts w:hint="eastAsia" w:ascii="Arial" w:hAnsi="Arial" w:cs="Arial"/>
          <w:szCs w:val="21"/>
        </w:rPr>
        <w:t>三包</w:t>
      </w:r>
      <w:r>
        <w:rPr>
          <w:rFonts w:ascii="Arial" w:hAnsi="Arial" w:cs="Arial"/>
          <w:szCs w:val="21"/>
        </w:rPr>
        <w:t>”</w:t>
      </w:r>
      <w:r>
        <w:rPr>
          <w:rFonts w:hint="eastAsia" w:ascii="Arial" w:hAnsi="Arial" w:cs="Arial"/>
          <w:szCs w:val="21"/>
        </w:rPr>
        <w:t>规定以及招投标文件和本合同附件，为甲方提供售后服务。</w:t>
      </w:r>
    </w:p>
    <w:p w14:paraId="4EEAE1FD">
      <w:pPr>
        <w:snapToGrid w:val="0"/>
        <w:spacing w:line="380" w:lineRule="exact"/>
        <w:ind w:firstLine="420" w:firstLineChars="200"/>
        <w:rPr>
          <w:rFonts w:ascii="Arial" w:hAnsi="Arial" w:cs="Arial"/>
          <w:szCs w:val="21"/>
          <w:u w:val="single"/>
        </w:rPr>
      </w:pPr>
      <w:r>
        <w:rPr>
          <w:rFonts w:ascii="Arial" w:hAnsi="Arial" w:cs="Arial"/>
          <w:szCs w:val="21"/>
        </w:rPr>
        <w:t>2.</w:t>
      </w:r>
      <w:r>
        <w:rPr>
          <w:rFonts w:hint="eastAsia" w:ascii="Arial" w:hAnsi="Arial" w:cs="Arial"/>
          <w:szCs w:val="21"/>
        </w:rPr>
        <w:t>货物质保期：</w:t>
      </w:r>
      <w:r>
        <w:rPr>
          <w:rFonts w:hint="eastAsia" w:ascii="Arial" w:hAnsi="Arial" w:cs="Arial"/>
          <w:szCs w:val="21"/>
          <w:u w:val="single"/>
        </w:rPr>
        <w:t>自安装调试验收合格之日起</w:t>
      </w:r>
      <w:r>
        <w:rPr>
          <w:rFonts w:hint="eastAsia" w:ascii="Arial" w:hAnsi="Arial" w:cs="Arial"/>
          <w:color w:val="FF0000"/>
          <w:szCs w:val="21"/>
          <w:u w:val="single"/>
        </w:rPr>
        <w:t xml:space="preserve"> </w:t>
      </w:r>
      <w:r>
        <w:rPr>
          <w:rFonts w:hint="eastAsia" w:ascii="Times New Roman" w:hAnsi="Times New Roman"/>
          <w:b/>
          <w:szCs w:val="21"/>
          <w:u w:val="single"/>
        </w:rPr>
        <w:t>3</w:t>
      </w:r>
      <w:r>
        <w:rPr>
          <w:rFonts w:ascii="Times New Roman" w:hAnsi="Times New Roman"/>
          <w:b/>
          <w:szCs w:val="21"/>
        </w:rPr>
        <w:t>年</w:t>
      </w:r>
      <w:r>
        <w:rPr>
          <w:rFonts w:hint="eastAsia" w:ascii="Arial" w:hAnsi="Arial" w:cs="Arial"/>
          <w:szCs w:val="21"/>
          <w:u w:val="single"/>
        </w:rPr>
        <w:t>。质保期内免费维修及更换配件，终身维修（质保期外只收配件费，差旅费由厂家或乙方负责）。</w:t>
      </w:r>
    </w:p>
    <w:p w14:paraId="12A2B37D">
      <w:pPr>
        <w:snapToGrid w:val="0"/>
        <w:spacing w:line="380" w:lineRule="exact"/>
        <w:ind w:firstLine="420" w:firstLineChars="200"/>
        <w:rPr>
          <w:rFonts w:ascii="Arial" w:hAnsi="Arial" w:cs="Arial"/>
          <w:szCs w:val="21"/>
          <w:u w:val="single"/>
        </w:rPr>
      </w:pPr>
      <w:r>
        <w:rPr>
          <w:rFonts w:ascii="Arial" w:hAnsi="Arial" w:cs="Arial"/>
          <w:szCs w:val="21"/>
        </w:rPr>
        <w:t>3.</w:t>
      </w:r>
      <w:r>
        <w:rPr>
          <w:rFonts w:hint="eastAsia" w:ascii="Arial" w:hAnsi="Arial" w:cs="Arial"/>
          <w:szCs w:val="21"/>
        </w:rPr>
        <w:t>乙方提供的服务承诺和售后服务及质保期责任等其它具体约定事项。（见合同附件）</w:t>
      </w:r>
    </w:p>
    <w:p w14:paraId="30D3ADF1">
      <w:pPr>
        <w:snapToGrid w:val="0"/>
        <w:spacing w:line="380" w:lineRule="exact"/>
        <w:ind w:firstLine="422" w:firstLineChars="200"/>
        <w:rPr>
          <w:rFonts w:ascii="Arial" w:hAnsi="Arial" w:cs="Arial"/>
          <w:szCs w:val="21"/>
        </w:rPr>
      </w:pPr>
      <w:r>
        <w:rPr>
          <w:rFonts w:hint="eastAsia" w:ascii="Arial" w:hAnsi="Arial" w:cs="Arial"/>
          <w:b/>
          <w:szCs w:val="21"/>
        </w:rPr>
        <w:t>第八条　付款方式</w:t>
      </w:r>
    </w:p>
    <w:p w14:paraId="1AA05AB2">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当采购数量与实际使用数量不一致时，乙方应根据实际使用量供货，合同的最终结算金额按实际使用量乘以成交单价进行计算。</w:t>
      </w:r>
    </w:p>
    <w:p w14:paraId="550C4849">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资金性质：</w:t>
      </w:r>
      <w:r>
        <w:rPr>
          <w:rFonts w:hint="eastAsia" w:ascii="Arial" w:hAnsi="Arial" w:cs="Arial"/>
          <w:szCs w:val="21"/>
          <w:u w:val="single"/>
        </w:rPr>
        <w:t>财政性资金</w:t>
      </w:r>
      <w:r>
        <w:rPr>
          <w:rFonts w:hint="eastAsia" w:ascii="Arial" w:hAnsi="Arial" w:cs="Arial"/>
          <w:szCs w:val="21"/>
        </w:rPr>
        <w:t>。</w:t>
      </w:r>
    </w:p>
    <w:p w14:paraId="773B7949">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付款方式：</w:t>
      </w:r>
      <w:r>
        <w:rPr>
          <w:rFonts w:hint="eastAsia" w:ascii="Arial" w:hAnsi="Arial" w:cs="Arial"/>
          <w:szCs w:val="21"/>
          <w:u w:val="single"/>
        </w:rPr>
        <w:t>签订合同后</w:t>
      </w:r>
      <w:r>
        <w:rPr>
          <w:rFonts w:ascii="Arial" w:hAnsi="Arial" w:cs="Arial"/>
          <w:szCs w:val="21"/>
          <w:u w:val="single"/>
        </w:rPr>
        <w:t>10</w:t>
      </w:r>
      <w:r>
        <w:rPr>
          <w:rFonts w:hint="eastAsia" w:ascii="Arial" w:hAnsi="Arial" w:cs="Arial"/>
          <w:szCs w:val="21"/>
          <w:u w:val="single"/>
        </w:rPr>
        <w:t>个工作日内甲方向乙方支付合同总金额50</w:t>
      </w:r>
      <w:r>
        <w:rPr>
          <w:rFonts w:ascii="Arial" w:hAnsi="Arial" w:cs="Arial"/>
          <w:szCs w:val="21"/>
          <w:u w:val="single"/>
        </w:rPr>
        <w:t>%</w:t>
      </w:r>
      <w:r>
        <w:rPr>
          <w:rFonts w:hint="eastAsia" w:ascii="Arial" w:hAnsi="Arial" w:cs="Arial"/>
          <w:szCs w:val="21"/>
          <w:u w:val="single"/>
        </w:rPr>
        <w:t>的预付款，待货物安装调试完毕并验收合格后，甲方在收到乙方开具的全额、有效发票和货物的全部技术、质保等资料（国产设备必须为增值税专用发票）之日起</w:t>
      </w:r>
      <w:r>
        <w:rPr>
          <w:rFonts w:ascii="Arial" w:hAnsi="Arial" w:cs="Arial"/>
          <w:szCs w:val="21"/>
          <w:u w:val="single"/>
        </w:rPr>
        <w:t>10</w:t>
      </w:r>
      <w:r>
        <w:rPr>
          <w:rFonts w:hint="eastAsia" w:ascii="Arial" w:hAnsi="Arial" w:cs="Arial"/>
          <w:szCs w:val="21"/>
          <w:u w:val="single"/>
        </w:rPr>
        <w:t>个工作日内付清乙方剩余的5</w:t>
      </w:r>
      <w:r>
        <w:rPr>
          <w:rFonts w:ascii="Arial" w:hAnsi="Arial" w:cs="Arial"/>
          <w:szCs w:val="21"/>
          <w:u w:val="single"/>
        </w:rPr>
        <w:t>0%</w:t>
      </w:r>
      <w:r>
        <w:rPr>
          <w:rFonts w:hint="eastAsia" w:ascii="Arial" w:hAnsi="Arial" w:cs="Arial"/>
          <w:szCs w:val="21"/>
          <w:u w:val="single"/>
        </w:rPr>
        <w:t>合同款。若乙方未按时开具发票，甲方有权延迟付款（无息）。甲方按约将货款付至合同约定的银行账户</w:t>
      </w:r>
      <w:r>
        <w:rPr>
          <w:rFonts w:ascii="Arial" w:hAnsi="Arial" w:cs="Arial"/>
          <w:szCs w:val="21"/>
          <w:u w:val="single"/>
        </w:rPr>
        <w:t>(</w:t>
      </w:r>
      <w:r>
        <w:rPr>
          <w:rFonts w:hint="eastAsia" w:ascii="Arial" w:hAnsi="Arial" w:cs="Arial"/>
          <w:szCs w:val="21"/>
          <w:u w:val="single"/>
        </w:rPr>
        <w:t>该账户的真实性及合法性由乙方负责</w:t>
      </w:r>
      <w:r>
        <w:rPr>
          <w:rFonts w:ascii="Arial" w:hAnsi="Arial" w:cs="Arial"/>
          <w:szCs w:val="21"/>
          <w:u w:val="single"/>
        </w:rPr>
        <w:t>)</w:t>
      </w:r>
      <w:r>
        <w:rPr>
          <w:rFonts w:hint="eastAsia" w:ascii="Arial" w:hAnsi="Arial" w:cs="Arial"/>
          <w:szCs w:val="21"/>
          <w:u w:val="single"/>
        </w:rPr>
        <w:t>；如因乙方提供的账户信息错误导致无法付款、迟延付款等情形的不视为甲方违约；乙方变更收款银行账户的，应在变更之前书面通知甲方，否则应承担甲方无法付款、迟延付款或付款错误等全部责任</w:t>
      </w:r>
      <w:r>
        <w:rPr>
          <w:rFonts w:hint="eastAsia" w:ascii="Arial" w:hAnsi="Arial" w:cs="Arial"/>
          <w:szCs w:val="21"/>
        </w:rPr>
        <w:t>。</w:t>
      </w:r>
    </w:p>
    <w:p w14:paraId="4D366EFE">
      <w:pPr>
        <w:snapToGrid w:val="0"/>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甲方的开票信息：</w:t>
      </w:r>
    </w:p>
    <w:p w14:paraId="0BC498DB">
      <w:pPr>
        <w:snapToGrid w:val="0"/>
        <w:spacing w:line="380" w:lineRule="exact"/>
        <w:ind w:firstLine="420" w:firstLineChars="200"/>
        <w:rPr>
          <w:rFonts w:ascii="Arial" w:hAnsi="Arial" w:cs="Arial"/>
          <w:szCs w:val="21"/>
        </w:rPr>
      </w:pPr>
      <w:r>
        <w:rPr>
          <w:rFonts w:hint="eastAsia" w:ascii="Arial" w:hAnsi="Arial" w:cs="Arial"/>
          <w:szCs w:val="21"/>
        </w:rPr>
        <w:t>名称：广西中医药大学</w:t>
      </w:r>
    </w:p>
    <w:p w14:paraId="48731DAA">
      <w:pPr>
        <w:snapToGrid w:val="0"/>
        <w:spacing w:line="380" w:lineRule="exact"/>
        <w:ind w:firstLine="420" w:firstLineChars="200"/>
        <w:rPr>
          <w:rFonts w:ascii="Arial" w:hAnsi="Arial" w:cs="Arial"/>
          <w:szCs w:val="21"/>
        </w:rPr>
      </w:pPr>
      <w:r>
        <w:rPr>
          <w:rFonts w:hint="eastAsia" w:ascii="Arial" w:hAnsi="Arial" w:cs="Arial"/>
          <w:szCs w:val="21"/>
        </w:rPr>
        <w:t>纳税人识别号：12450000498502664R</w:t>
      </w:r>
    </w:p>
    <w:p w14:paraId="5BB7DA9A">
      <w:pPr>
        <w:snapToGrid w:val="0"/>
        <w:spacing w:line="380" w:lineRule="exact"/>
        <w:ind w:firstLine="420" w:firstLineChars="200"/>
        <w:rPr>
          <w:rFonts w:ascii="Arial" w:hAnsi="Arial" w:cs="Arial"/>
          <w:szCs w:val="21"/>
        </w:rPr>
      </w:pPr>
      <w:r>
        <w:rPr>
          <w:rFonts w:hint="eastAsia" w:ascii="Arial" w:hAnsi="Arial" w:cs="Arial"/>
          <w:szCs w:val="21"/>
        </w:rPr>
        <w:t>开户行及账号：中国银行股份有限公司南宁市明秀东支行 621057498215</w:t>
      </w:r>
    </w:p>
    <w:p w14:paraId="7AA5B5BD">
      <w:pPr>
        <w:snapToGrid w:val="0"/>
        <w:spacing w:line="380" w:lineRule="exact"/>
        <w:ind w:firstLine="420" w:firstLineChars="200"/>
        <w:rPr>
          <w:rFonts w:ascii="Arial" w:hAnsi="Arial" w:cs="Arial"/>
          <w:szCs w:val="21"/>
        </w:rPr>
      </w:pPr>
      <w:r>
        <w:rPr>
          <w:rFonts w:hint="eastAsia" w:ascii="Arial" w:hAnsi="Arial" w:cs="Arial"/>
          <w:szCs w:val="21"/>
        </w:rPr>
        <w:t xml:space="preserve">银行联行号：104611010679 </w:t>
      </w:r>
      <w:bookmarkStart w:id="1" w:name="_GoBack"/>
      <w:bookmarkEnd w:id="1"/>
    </w:p>
    <w:p w14:paraId="2E6F8566">
      <w:pPr>
        <w:snapToGrid w:val="0"/>
        <w:spacing w:line="380" w:lineRule="exact"/>
        <w:ind w:firstLine="420" w:firstLineChars="200"/>
        <w:rPr>
          <w:rFonts w:ascii="Arial" w:hAnsi="Arial" w:cs="Arial"/>
          <w:szCs w:val="21"/>
        </w:rPr>
      </w:pPr>
      <w:r>
        <w:rPr>
          <w:rFonts w:hint="eastAsia" w:ascii="Arial" w:hAnsi="Arial" w:cs="Arial"/>
          <w:szCs w:val="21"/>
        </w:rPr>
        <w:t>地址：南宁市五合大道13号</w:t>
      </w:r>
    </w:p>
    <w:p w14:paraId="00897166">
      <w:pPr>
        <w:snapToGrid w:val="0"/>
        <w:spacing w:line="380" w:lineRule="exact"/>
        <w:ind w:firstLine="420" w:firstLineChars="200"/>
        <w:rPr>
          <w:rFonts w:ascii="Arial" w:hAnsi="Arial" w:cs="Arial"/>
          <w:szCs w:val="21"/>
        </w:rPr>
      </w:pPr>
      <w:r>
        <w:rPr>
          <w:rFonts w:hint="eastAsia" w:ascii="Arial" w:hAnsi="Arial" w:cs="Arial"/>
          <w:szCs w:val="21"/>
        </w:rPr>
        <w:t>电话：0771-4953625</w:t>
      </w:r>
    </w:p>
    <w:p w14:paraId="5E1BA1FC">
      <w:pPr>
        <w:snapToGrid w:val="0"/>
        <w:spacing w:line="380" w:lineRule="exact"/>
        <w:ind w:firstLine="420" w:firstLineChars="200"/>
        <w:rPr>
          <w:rFonts w:ascii="Arial" w:hAnsi="Arial" w:cs="Arial"/>
          <w:szCs w:val="21"/>
        </w:rPr>
      </w:pPr>
      <w:r>
        <w:rPr>
          <w:rFonts w:ascii="Arial" w:hAnsi="Arial" w:cs="Arial"/>
          <w:szCs w:val="21"/>
        </w:rPr>
        <w:t>5.</w:t>
      </w:r>
      <w:r>
        <w:rPr>
          <w:rFonts w:hint="eastAsia" w:ascii="Arial" w:hAnsi="Arial" w:cs="Arial"/>
          <w:szCs w:val="21"/>
        </w:rPr>
        <w:t>乙方指定收款银行账户为：</w:t>
      </w:r>
    </w:p>
    <w:p w14:paraId="748043E3">
      <w:pPr>
        <w:snapToGrid w:val="0"/>
        <w:spacing w:line="380" w:lineRule="exact"/>
        <w:ind w:firstLine="420" w:firstLineChars="200"/>
        <w:rPr>
          <w:rFonts w:ascii="Arial" w:hAnsi="Arial" w:cs="Arial"/>
          <w:szCs w:val="21"/>
        </w:rPr>
      </w:pPr>
      <w:r>
        <w:rPr>
          <w:rFonts w:hint="eastAsia" w:ascii="Arial" w:hAnsi="Arial" w:cs="Arial"/>
          <w:szCs w:val="21"/>
        </w:rPr>
        <w:t>开户银行：</w:t>
      </w:r>
    </w:p>
    <w:p w14:paraId="472B254D">
      <w:pPr>
        <w:snapToGrid w:val="0"/>
        <w:spacing w:line="380" w:lineRule="exact"/>
        <w:ind w:firstLine="420" w:firstLineChars="200"/>
        <w:rPr>
          <w:rFonts w:ascii="Arial" w:hAnsi="Arial" w:cs="Arial"/>
          <w:szCs w:val="21"/>
        </w:rPr>
      </w:pPr>
      <w:r>
        <w:rPr>
          <w:rFonts w:hint="eastAsia" w:ascii="Arial" w:hAnsi="Arial" w:cs="Arial"/>
          <w:szCs w:val="21"/>
        </w:rPr>
        <w:t>账户名：</w:t>
      </w:r>
    </w:p>
    <w:p w14:paraId="1B4F8F09">
      <w:pPr>
        <w:snapToGrid w:val="0"/>
        <w:spacing w:line="380" w:lineRule="exact"/>
        <w:ind w:firstLine="420" w:firstLineChars="200"/>
        <w:rPr>
          <w:rFonts w:ascii="Arial" w:hAnsi="Arial" w:cs="Arial"/>
          <w:szCs w:val="21"/>
        </w:rPr>
      </w:pPr>
      <w:r>
        <w:rPr>
          <w:rFonts w:hint="eastAsia" w:ascii="Arial" w:hAnsi="Arial" w:cs="Arial"/>
          <w:szCs w:val="21"/>
        </w:rPr>
        <w:t>账号：</w:t>
      </w:r>
    </w:p>
    <w:p w14:paraId="076347AF">
      <w:pPr>
        <w:snapToGrid w:val="0"/>
        <w:spacing w:line="380" w:lineRule="exact"/>
        <w:ind w:firstLine="422" w:firstLineChars="200"/>
        <w:rPr>
          <w:rFonts w:ascii="Arial" w:hAnsi="Arial" w:cs="Arial"/>
          <w:b/>
          <w:szCs w:val="21"/>
        </w:rPr>
      </w:pPr>
      <w:r>
        <w:rPr>
          <w:rFonts w:hint="eastAsia" w:ascii="Arial" w:hAnsi="Arial" w:cs="Arial"/>
          <w:b/>
          <w:szCs w:val="21"/>
        </w:rPr>
        <w:t>第九条履约保证金</w:t>
      </w:r>
    </w:p>
    <w:p w14:paraId="5E75CA4B">
      <w:pPr>
        <w:snapToGrid w:val="0"/>
        <w:spacing w:line="380" w:lineRule="exact"/>
        <w:ind w:firstLine="420" w:firstLineChars="200"/>
        <w:rPr>
          <w:rFonts w:ascii="Arial" w:hAnsi="Arial" w:cs="Arial"/>
          <w:szCs w:val="21"/>
        </w:rPr>
      </w:pPr>
      <w:r>
        <w:rPr>
          <w:rFonts w:hint="eastAsia" w:ascii="Arial" w:hAnsi="Arial" w:cs="Arial"/>
          <w:szCs w:val="21"/>
          <w:u w:val="single"/>
        </w:rPr>
        <w:t>（无）</w:t>
      </w:r>
      <w:r>
        <w:rPr>
          <w:rFonts w:hint="eastAsia" w:ascii="Arial" w:hAnsi="Arial" w:cs="Arial"/>
          <w:szCs w:val="21"/>
        </w:rPr>
        <w:t>。</w:t>
      </w:r>
    </w:p>
    <w:p w14:paraId="06C93073">
      <w:pPr>
        <w:snapToGrid w:val="0"/>
        <w:spacing w:line="380" w:lineRule="exact"/>
        <w:ind w:firstLine="422" w:firstLineChars="200"/>
        <w:rPr>
          <w:rFonts w:ascii="Arial" w:hAnsi="Arial" w:cs="Arial"/>
          <w:b/>
          <w:szCs w:val="21"/>
        </w:rPr>
      </w:pPr>
      <w:r>
        <w:rPr>
          <w:rFonts w:hint="eastAsia" w:ascii="Arial" w:hAnsi="Arial" w:cs="Arial"/>
          <w:b/>
          <w:szCs w:val="21"/>
        </w:rPr>
        <w:t>第十条税费</w:t>
      </w:r>
    </w:p>
    <w:p w14:paraId="7BEF1882">
      <w:pPr>
        <w:snapToGrid w:val="0"/>
        <w:spacing w:line="380" w:lineRule="exact"/>
        <w:ind w:firstLine="420" w:firstLineChars="200"/>
        <w:rPr>
          <w:rFonts w:ascii="Arial" w:hAnsi="Arial" w:cs="Arial"/>
          <w:szCs w:val="21"/>
        </w:rPr>
      </w:pPr>
      <w:r>
        <w:rPr>
          <w:rFonts w:hint="eastAsia" w:ascii="Arial" w:hAnsi="Arial" w:cs="Arial"/>
          <w:szCs w:val="21"/>
        </w:rPr>
        <w:t>本合同执行中相关的一切税费均由乙方负担。</w:t>
      </w:r>
    </w:p>
    <w:p w14:paraId="6C3B794F">
      <w:pPr>
        <w:snapToGrid w:val="0"/>
        <w:spacing w:line="380" w:lineRule="exact"/>
        <w:ind w:firstLine="422" w:firstLineChars="200"/>
        <w:rPr>
          <w:rFonts w:ascii="Arial" w:hAnsi="Arial" w:cs="Arial"/>
          <w:b/>
          <w:szCs w:val="21"/>
        </w:rPr>
      </w:pPr>
      <w:r>
        <w:rPr>
          <w:rFonts w:hint="eastAsia" w:ascii="Arial" w:hAnsi="Arial" w:cs="Arial"/>
          <w:b/>
          <w:szCs w:val="21"/>
        </w:rPr>
        <w:t>第十一条质量保证及售后服务</w:t>
      </w:r>
    </w:p>
    <w:p w14:paraId="7D30BD0A">
      <w:pPr>
        <w:snapToGrid w:val="0"/>
        <w:spacing w:line="380" w:lineRule="exact"/>
        <w:ind w:firstLine="420" w:firstLineChars="200"/>
        <w:rPr>
          <w:rFonts w:ascii="Arial" w:hAnsi="Arial" w:cs="Arial"/>
          <w:szCs w:val="21"/>
        </w:rPr>
      </w:pPr>
      <w:r>
        <w:rPr>
          <w:rFonts w:ascii="Arial" w:hAnsi="Arial" w:cs="Arial"/>
          <w:szCs w:val="21"/>
        </w:rPr>
        <w:t xml:space="preserve">1. </w:t>
      </w:r>
      <w:r>
        <w:rPr>
          <w:rFonts w:hint="eastAsia" w:ascii="Arial" w:hAnsi="Arial" w:cs="Arial"/>
          <w:szCs w:val="21"/>
        </w:rPr>
        <w:t>乙方应按公开询价文件规定的货物性能、技术要求、质量标准向甲方提供未经使用的全新产品。乙方提供货物的质量保证期按交货验收合格之日起计（期限</w:t>
      </w:r>
      <w:r>
        <w:rPr>
          <w:rFonts w:hint="eastAsia" w:ascii="Arial" w:hAnsi="Arial" w:cs="Arial"/>
          <w:szCs w:val="21"/>
          <w:u w:val="single"/>
        </w:rPr>
        <w:t>按乙方承诺，但是不得低于国家相关标准</w:t>
      </w:r>
      <w:r>
        <w:rPr>
          <w:rFonts w:hint="eastAsia" w:ascii="Arial" w:hAnsi="Arial" w:cs="Arial"/>
          <w:szCs w:val="21"/>
        </w:rPr>
        <w:t>）。如因甲方原因暂时不能安装、调试视同验收合格的货物，质保期从安装、调试完成之日起计算，或者从项目整体验收之日起质保期满后再延长</w:t>
      </w:r>
      <w:r>
        <w:rPr>
          <w:rFonts w:ascii="Arial" w:hAnsi="Arial" w:cs="Arial"/>
          <w:szCs w:val="21"/>
        </w:rPr>
        <w:t>1</w:t>
      </w:r>
      <w:r>
        <w:rPr>
          <w:rFonts w:hint="eastAsia" w:ascii="Arial" w:hAnsi="Arial" w:cs="Arial"/>
          <w:szCs w:val="21"/>
        </w:rPr>
        <w:t>年，以先到时间为准。在保证期内因货物本身的质量问题发生故障，乙方应负责免费修理和更换零部件。对达不到技术要求者，根据实际情况，经双方协商，可按以下办法处理：</w:t>
      </w:r>
    </w:p>
    <w:p w14:paraId="73AD067C">
      <w:pPr>
        <w:snapToGrid w:val="0"/>
        <w:spacing w:line="380" w:lineRule="exact"/>
        <w:ind w:firstLine="420" w:firstLineChars="200"/>
        <w:rPr>
          <w:rFonts w:ascii="Arial" w:hAnsi="Arial" w:cs="Arial"/>
          <w:szCs w:val="21"/>
        </w:rPr>
      </w:pPr>
      <w:r>
        <w:rPr>
          <w:rFonts w:hint="eastAsia" w:ascii="Arial" w:hAnsi="Arial" w:cs="Arial"/>
          <w:szCs w:val="21"/>
        </w:rPr>
        <w:t>（</w:t>
      </w:r>
      <w:r>
        <w:rPr>
          <w:rFonts w:ascii="Arial" w:hAnsi="Arial" w:cs="Arial"/>
          <w:szCs w:val="21"/>
        </w:rPr>
        <w:t>1</w:t>
      </w:r>
      <w:r>
        <w:rPr>
          <w:rFonts w:hint="eastAsia" w:ascii="Arial" w:hAnsi="Arial" w:cs="Arial"/>
          <w:szCs w:val="21"/>
        </w:rPr>
        <w:t>）更换：由乙方承担所发生的全部费用。</w:t>
      </w:r>
    </w:p>
    <w:p w14:paraId="184928FE">
      <w:pPr>
        <w:snapToGrid w:val="0"/>
        <w:spacing w:line="380" w:lineRule="exact"/>
        <w:ind w:firstLine="420" w:firstLineChars="200"/>
        <w:rPr>
          <w:rFonts w:ascii="Arial" w:hAnsi="Arial" w:cs="Arial"/>
          <w:szCs w:val="21"/>
        </w:rPr>
      </w:pPr>
      <w:r>
        <w:rPr>
          <w:rFonts w:hint="eastAsia" w:ascii="Arial" w:hAnsi="Arial" w:cs="Arial"/>
          <w:szCs w:val="21"/>
        </w:rPr>
        <w:t>（</w:t>
      </w:r>
      <w:r>
        <w:rPr>
          <w:rFonts w:ascii="Arial" w:hAnsi="Arial" w:cs="Arial"/>
          <w:szCs w:val="21"/>
        </w:rPr>
        <w:t>2</w:t>
      </w:r>
      <w:r>
        <w:rPr>
          <w:rFonts w:hint="eastAsia" w:ascii="Arial" w:hAnsi="Arial" w:cs="Arial"/>
          <w:szCs w:val="21"/>
        </w:rPr>
        <w:t>）贬值处理：由甲乙双方合议定价，无法合议定价则委托第三方评估机构（费用由乙方承担）定价或按照退货处理。</w:t>
      </w:r>
    </w:p>
    <w:p w14:paraId="57B179F7">
      <w:pPr>
        <w:snapToGrid w:val="0"/>
        <w:spacing w:line="380" w:lineRule="exact"/>
        <w:ind w:firstLine="420" w:firstLineChars="200"/>
        <w:rPr>
          <w:rFonts w:ascii="Arial" w:hAnsi="Arial" w:cs="Arial"/>
          <w:szCs w:val="21"/>
        </w:rPr>
      </w:pPr>
      <w:r>
        <w:rPr>
          <w:rFonts w:hint="eastAsia" w:ascii="Arial" w:hAnsi="Arial" w:cs="Arial"/>
          <w:szCs w:val="21"/>
        </w:rPr>
        <w:t>（</w:t>
      </w:r>
      <w:r>
        <w:rPr>
          <w:rFonts w:ascii="Arial" w:hAnsi="Arial" w:cs="Arial"/>
          <w:szCs w:val="21"/>
        </w:rPr>
        <w:t>3</w:t>
      </w:r>
      <w:r>
        <w:rPr>
          <w:rFonts w:hint="eastAsia" w:ascii="Arial" w:hAnsi="Arial" w:cs="Arial"/>
          <w:szCs w:val="21"/>
        </w:rPr>
        <w:t>）退货处理：乙方应退还甲方支付的合同款，同时应承担该货物的直接费用（运输、保险、检验、货款利息及银行手续费等）。</w:t>
      </w:r>
    </w:p>
    <w:p w14:paraId="191F6F32">
      <w:pPr>
        <w:snapToGrid w:val="0"/>
        <w:spacing w:line="380" w:lineRule="exact"/>
        <w:ind w:firstLine="420" w:firstLineChars="200"/>
        <w:rPr>
          <w:rFonts w:ascii="Arial" w:hAnsi="Arial" w:cs="Arial"/>
          <w:szCs w:val="21"/>
        </w:rPr>
      </w:pPr>
      <w:r>
        <w:rPr>
          <w:rFonts w:ascii="Arial" w:hAnsi="Arial" w:cs="Arial"/>
          <w:szCs w:val="21"/>
        </w:rPr>
        <w:t xml:space="preserve">2. </w:t>
      </w:r>
      <w:r>
        <w:rPr>
          <w:rFonts w:hint="eastAsia" w:ascii="Arial" w:hAnsi="Arial" w:cs="Arial"/>
          <w:szCs w:val="21"/>
        </w:rPr>
        <w:t>如在使用过程中发生质量问题，乙方在接到甲方通知后在</w:t>
      </w:r>
      <w:r>
        <w:rPr>
          <w:rFonts w:hint="eastAsia" w:ascii="Arial" w:hAnsi="Arial" w:cs="Arial"/>
          <w:szCs w:val="21"/>
          <w:u w:val="single"/>
        </w:rPr>
        <w:t>按4小时内到达现场进行处理，到达现场后4小时内排除故障，恢复正常使用。</w:t>
      </w:r>
    </w:p>
    <w:p w14:paraId="157B1EE5">
      <w:pPr>
        <w:snapToGrid w:val="0"/>
        <w:spacing w:line="380" w:lineRule="exact"/>
        <w:ind w:firstLine="420" w:firstLineChars="200"/>
        <w:rPr>
          <w:rFonts w:ascii="Arial" w:hAnsi="Arial" w:cs="Arial"/>
          <w:szCs w:val="21"/>
        </w:rPr>
      </w:pPr>
      <w:r>
        <w:rPr>
          <w:rFonts w:ascii="Arial" w:hAnsi="Arial" w:cs="Arial"/>
          <w:szCs w:val="21"/>
        </w:rPr>
        <w:t xml:space="preserve">3. </w:t>
      </w:r>
      <w:r>
        <w:rPr>
          <w:rFonts w:hint="eastAsia" w:ascii="Arial" w:hAnsi="Arial" w:cs="Arial"/>
          <w:szCs w:val="21"/>
        </w:rPr>
        <w:t>在质保期内，乙方应对货物出现的质量及安全问题负责处理解决并承担一切费用。</w:t>
      </w:r>
    </w:p>
    <w:p w14:paraId="03243C47">
      <w:pPr>
        <w:snapToGrid w:val="0"/>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上述的货物因人为因素出现的故障不在免费保修范围内。超过质保期的机器设备的维修按乙方投标文件承诺实行。</w:t>
      </w:r>
    </w:p>
    <w:p w14:paraId="1F2904C2">
      <w:pPr>
        <w:snapToGrid w:val="0"/>
        <w:spacing w:line="380" w:lineRule="exact"/>
        <w:ind w:firstLine="422" w:firstLineChars="200"/>
        <w:rPr>
          <w:rFonts w:ascii="Arial" w:hAnsi="Arial" w:cs="Arial"/>
          <w:szCs w:val="21"/>
        </w:rPr>
      </w:pPr>
      <w:r>
        <w:rPr>
          <w:rFonts w:hint="eastAsia" w:ascii="Arial" w:hAnsi="Arial" w:cs="Arial"/>
          <w:b/>
          <w:szCs w:val="21"/>
        </w:rPr>
        <w:t>第十二条货物包装、发运及运输</w:t>
      </w:r>
    </w:p>
    <w:p w14:paraId="1EA1500D">
      <w:pPr>
        <w:snapToGrid w:val="0"/>
        <w:spacing w:line="380" w:lineRule="exact"/>
        <w:ind w:firstLine="420" w:firstLineChars="200"/>
        <w:jc w:val="left"/>
        <w:rPr>
          <w:rFonts w:ascii="Arial" w:hAnsi="Arial" w:cs="Arial"/>
          <w:szCs w:val="21"/>
        </w:rPr>
      </w:pPr>
      <w:r>
        <w:rPr>
          <w:rFonts w:ascii="Arial" w:hAnsi="Arial" w:cs="Arial"/>
          <w:szCs w:val="21"/>
        </w:rPr>
        <w:t xml:space="preserve">1. </w:t>
      </w:r>
      <w:r>
        <w:rPr>
          <w:rFonts w:hint="eastAsia" w:ascii="Arial" w:hAnsi="Arial" w:cs="Arial"/>
          <w:szCs w:val="21"/>
        </w:rPr>
        <w:t>乙方应在货物发运前对其进行满足运输距离、防潮、防震、防锈和防破损装卸等要求包装，以保证货物安全运达甲方指定地点。</w:t>
      </w:r>
    </w:p>
    <w:p w14:paraId="268A6859">
      <w:pPr>
        <w:snapToGrid w:val="0"/>
        <w:spacing w:line="380" w:lineRule="exact"/>
        <w:ind w:firstLine="420" w:firstLineChars="200"/>
        <w:jc w:val="left"/>
        <w:rPr>
          <w:rFonts w:ascii="Arial" w:hAnsi="Arial" w:cs="Arial"/>
          <w:szCs w:val="21"/>
        </w:rPr>
      </w:pPr>
      <w:r>
        <w:rPr>
          <w:rFonts w:ascii="Arial" w:hAnsi="Arial" w:cs="Arial"/>
          <w:szCs w:val="21"/>
        </w:rPr>
        <w:t xml:space="preserve">2. </w:t>
      </w:r>
      <w:r>
        <w:rPr>
          <w:rFonts w:hint="eastAsia" w:ascii="Arial" w:hAnsi="Arial" w:cs="Arial"/>
          <w:szCs w:val="21"/>
        </w:rPr>
        <w:t>使用说明书、质量检验证明书、随配附件和工具以及清单一并附于货物内。</w:t>
      </w:r>
    </w:p>
    <w:p w14:paraId="6167B9B0">
      <w:pPr>
        <w:snapToGrid w:val="0"/>
        <w:spacing w:line="380" w:lineRule="exact"/>
        <w:ind w:firstLine="420" w:firstLineChars="200"/>
        <w:jc w:val="left"/>
        <w:rPr>
          <w:rFonts w:ascii="Arial" w:hAnsi="Arial" w:cs="Arial"/>
          <w:szCs w:val="21"/>
        </w:rPr>
      </w:pPr>
      <w:r>
        <w:rPr>
          <w:rFonts w:ascii="Arial" w:hAnsi="Arial" w:cs="Arial"/>
          <w:szCs w:val="21"/>
        </w:rPr>
        <w:t xml:space="preserve">3. </w:t>
      </w:r>
      <w:r>
        <w:rPr>
          <w:rFonts w:hint="eastAsia" w:ascii="Arial" w:hAnsi="Arial" w:cs="Arial"/>
          <w:szCs w:val="21"/>
        </w:rPr>
        <w:t>乙方在货物发运手续办理完毕后二十四小时内或货到甲方四十八小时前通知甲方，以准备接货。</w:t>
      </w:r>
    </w:p>
    <w:p w14:paraId="172036BE">
      <w:pPr>
        <w:snapToGrid w:val="0"/>
        <w:spacing w:line="380" w:lineRule="exact"/>
        <w:ind w:firstLine="420" w:firstLineChars="200"/>
        <w:jc w:val="left"/>
        <w:rPr>
          <w:rFonts w:ascii="Arial" w:hAnsi="Arial" w:cs="Arial"/>
          <w:szCs w:val="21"/>
        </w:rPr>
      </w:pPr>
      <w:r>
        <w:rPr>
          <w:rFonts w:ascii="Arial" w:hAnsi="Arial" w:cs="Arial"/>
          <w:szCs w:val="21"/>
        </w:rPr>
        <w:t xml:space="preserve">4. </w:t>
      </w:r>
      <w:r>
        <w:rPr>
          <w:rFonts w:hint="eastAsia" w:ascii="Arial" w:hAnsi="Arial" w:cs="Arial"/>
          <w:szCs w:val="21"/>
        </w:rPr>
        <w:t>货物在交付甲方前发生的风险均由乙方负责。</w:t>
      </w:r>
    </w:p>
    <w:p w14:paraId="4C8C2278">
      <w:pPr>
        <w:snapToGrid w:val="0"/>
        <w:spacing w:line="380" w:lineRule="exact"/>
        <w:ind w:firstLine="420" w:firstLineChars="200"/>
        <w:jc w:val="left"/>
        <w:rPr>
          <w:rFonts w:ascii="Arial" w:hAnsi="Arial" w:cs="Arial"/>
          <w:szCs w:val="21"/>
        </w:rPr>
      </w:pPr>
      <w:r>
        <w:rPr>
          <w:rFonts w:ascii="Arial" w:hAnsi="Arial" w:cs="Arial"/>
          <w:szCs w:val="21"/>
        </w:rPr>
        <w:t xml:space="preserve">5. </w:t>
      </w:r>
      <w:r>
        <w:rPr>
          <w:rFonts w:hint="eastAsia" w:ascii="Arial" w:hAnsi="Arial" w:cs="Arial"/>
          <w:szCs w:val="21"/>
        </w:rPr>
        <w:t>货物在规定的交付期限内由乙方送达甲方指定的地点并验货合格后视为交付，乙方同时需通知甲方货物已送达。</w:t>
      </w:r>
    </w:p>
    <w:p w14:paraId="64FEF098">
      <w:pPr>
        <w:snapToGrid w:val="0"/>
        <w:spacing w:line="380" w:lineRule="exact"/>
        <w:ind w:firstLine="413" w:firstLineChars="196"/>
        <w:rPr>
          <w:rFonts w:ascii="Arial" w:hAnsi="Arial" w:cs="Arial"/>
          <w:b/>
          <w:szCs w:val="21"/>
        </w:rPr>
      </w:pPr>
      <w:bookmarkStart w:id="0" w:name="_Toc217446110"/>
      <w:r>
        <w:rPr>
          <w:rFonts w:hint="eastAsia" w:ascii="Arial" w:hAnsi="Arial" w:cs="Arial"/>
          <w:b/>
          <w:szCs w:val="21"/>
        </w:rPr>
        <w:t>第十三条交货及验收</w:t>
      </w:r>
      <w:bookmarkEnd w:id="0"/>
      <w:r>
        <w:rPr>
          <w:rFonts w:hint="eastAsia" w:ascii="Arial" w:hAnsi="Arial" w:cs="Arial"/>
          <w:b/>
          <w:szCs w:val="21"/>
        </w:rPr>
        <w:t>要求</w:t>
      </w:r>
    </w:p>
    <w:p w14:paraId="6B2245FD">
      <w:pPr>
        <w:snapToGrid w:val="0"/>
        <w:spacing w:line="380" w:lineRule="exact"/>
        <w:ind w:firstLine="420" w:firstLineChars="200"/>
        <w:jc w:val="left"/>
        <w:rPr>
          <w:rFonts w:ascii="Arial" w:hAnsi="Arial" w:cs="Arial"/>
          <w:szCs w:val="21"/>
        </w:rPr>
      </w:pPr>
      <w:r>
        <w:rPr>
          <w:rFonts w:ascii="Arial" w:hAnsi="Arial" w:cs="Arial"/>
          <w:szCs w:val="21"/>
        </w:rPr>
        <w:t xml:space="preserve">1. </w:t>
      </w:r>
      <w:r>
        <w:rPr>
          <w:rFonts w:hint="eastAsia" w:ascii="Arial" w:hAnsi="Arial" w:cs="Arial"/>
          <w:szCs w:val="21"/>
        </w:rPr>
        <w:t>甲方对乙方提交的货物依据询价文件上的技术规格要求和国家有关质量标准进行现场验货，外观、说明书符合询价文件技术要求的，给予签收，验货不合格的不予签收。验货合格后，甲方应当在安装、调试完毕后七个工作日内进行验收</w:t>
      </w:r>
      <w:r>
        <w:rPr>
          <w:rFonts w:hint="eastAsia" w:ascii="Arial" w:hAnsi="Arial" w:cs="Arial"/>
          <w:bCs/>
          <w:szCs w:val="21"/>
        </w:rPr>
        <w:t>，甲方无故不进行验收工作并已使用货物的，视同已安装调试完成并验收合格</w:t>
      </w:r>
      <w:r>
        <w:rPr>
          <w:rFonts w:hint="eastAsia" w:ascii="Arial" w:hAnsi="Arial" w:cs="Arial"/>
          <w:szCs w:val="21"/>
        </w:rPr>
        <w:t>。</w:t>
      </w:r>
    </w:p>
    <w:p w14:paraId="03505B0F">
      <w:pPr>
        <w:snapToGrid w:val="0"/>
        <w:spacing w:line="380" w:lineRule="exact"/>
        <w:ind w:firstLine="420" w:firstLineChars="200"/>
        <w:rPr>
          <w:rFonts w:ascii="Arial" w:hAnsi="Arial" w:cs="Arial"/>
          <w:szCs w:val="21"/>
          <w:u w:val="single"/>
        </w:rPr>
      </w:pPr>
      <w:r>
        <w:rPr>
          <w:rFonts w:hint="eastAsia" w:ascii="Arial" w:hAnsi="Arial" w:cs="Arial"/>
          <w:szCs w:val="21"/>
        </w:rPr>
        <w:t>2</w:t>
      </w:r>
      <w:r>
        <w:rPr>
          <w:rFonts w:ascii="Arial" w:hAnsi="Arial" w:cs="Arial"/>
          <w:szCs w:val="21"/>
        </w:rPr>
        <w:t xml:space="preserve">. </w:t>
      </w:r>
      <w:r>
        <w:rPr>
          <w:rFonts w:hint="eastAsia" w:ascii="Arial" w:hAnsi="Arial" w:cs="Arial"/>
          <w:szCs w:val="21"/>
        </w:rPr>
        <w:t>甲方对乙方提供的货物在使用前进行调试时，乙方需负责安装并培训甲方的使用操作人员，并协助甲方一起调试，直到符合技术要求，甲方才做验收。</w:t>
      </w:r>
    </w:p>
    <w:p w14:paraId="237C6CD5">
      <w:pPr>
        <w:snapToGrid w:val="0"/>
        <w:spacing w:line="380" w:lineRule="exact"/>
        <w:ind w:firstLine="420" w:firstLineChars="200"/>
        <w:rPr>
          <w:rFonts w:ascii="Arial" w:hAnsi="Arial" w:cs="Arial"/>
          <w:szCs w:val="21"/>
        </w:rPr>
      </w:pPr>
      <w:r>
        <w:rPr>
          <w:rFonts w:hint="eastAsia" w:ascii="Arial" w:hAnsi="Arial" w:cs="Arial"/>
          <w:szCs w:val="21"/>
        </w:rPr>
        <w:t>3</w:t>
      </w:r>
      <w:r>
        <w:rPr>
          <w:rFonts w:ascii="Arial" w:hAnsi="Arial" w:cs="Arial"/>
          <w:szCs w:val="21"/>
        </w:rPr>
        <w:t>.</w:t>
      </w:r>
      <w:r>
        <w:rPr>
          <w:rFonts w:hint="eastAsia" w:ascii="Arial" w:hAnsi="Arial" w:cs="Arial"/>
          <w:szCs w:val="21"/>
        </w:rPr>
        <w:t>对技术复杂的货物，甲方应请国家认可的专业检测机构参与验货及验收，并由其出具质量检测报告。</w:t>
      </w:r>
    </w:p>
    <w:p w14:paraId="017EB977">
      <w:pPr>
        <w:snapToGrid w:val="0"/>
        <w:spacing w:line="380" w:lineRule="exact"/>
        <w:ind w:firstLine="420" w:firstLineChars="200"/>
        <w:rPr>
          <w:rFonts w:ascii="Arial" w:hAnsi="Arial" w:cs="Arial"/>
          <w:szCs w:val="21"/>
        </w:rPr>
      </w:pPr>
      <w:r>
        <w:rPr>
          <w:rFonts w:hint="eastAsia" w:ascii="Arial" w:hAnsi="Arial" w:cs="Arial"/>
          <w:szCs w:val="21"/>
        </w:rPr>
        <w:t>4</w:t>
      </w:r>
      <w:r>
        <w:rPr>
          <w:rFonts w:ascii="Arial" w:hAnsi="Arial" w:cs="Arial"/>
          <w:szCs w:val="21"/>
        </w:rPr>
        <w:t>.</w:t>
      </w:r>
      <w:r>
        <w:rPr>
          <w:rFonts w:hint="eastAsia" w:ascii="Arial" w:hAnsi="Arial" w:cs="Arial"/>
          <w:szCs w:val="21"/>
        </w:rPr>
        <w:t>验收时乙方必须在现场，验收完毕后作出验收结果报告（验收书），乙方无理由拒不到场的则视为认可甲方的验收结果。</w:t>
      </w:r>
    </w:p>
    <w:p w14:paraId="3E27EA74">
      <w:pPr>
        <w:snapToGrid w:val="0"/>
        <w:spacing w:line="380" w:lineRule="exact"/>
        <w:ind w:firstLine="420" w:firstLineChars="200"/>
        <w:jc w:val="left"/>
        <w:rPr>
          <w:rFonts w:ascii="Arial" w:hAnsi="Arial" w:cs="Arial"/>
          <w:szCs w:val="21"/>
        </w:rPr>
      </w:pPr>
      <w:r>
        <w:rPr>
          <w:rFonts w:hint="eastAsia" w:ascii="Arial" w:hAnsi="Arial" w:cs="Arial"/>
          <w:szCs w:val="21"/>
        </w:rPr>
        <w:t>5</w:t>
      </w:r>
      <w:r>
        <w:rPr>
          <w:rFonts w:ascii="Arial" w:hAnsi="Arial" w:cs="Arial"/>
          <w:szCs w:val="21"/>
        </w:rPr>
        <w:t>.</w:t>
      </w:r>
      <w:r>
        <w:rPr>
          <w:rFonts w:hint="eastAsia" w:ascii="Arial" w:hAnsi="Arial" w:cs="Arial"/>
          <w:szCs w:val="21"/>
        </w:rPr>
        <w:t>其他未尽事宜应严格按照《关于印发广西壮族自治区政府采购项目履约验收管理办法的通知》</w:t>
      </w:r>
      <w:r>
        <w:rPr>
          <w:rFonts w:ascii="Arial" w:hAnsi="Arial" w:cs="Arial"/>
          <w:szCs w:val="21"/>
        </w:rPr>
        <w:t>[</w:t>
      </w:r>
      <w:r>
        <w:rPr>
          <w:rFonts w:hint="eastAsia" w:ascii="Arial" w:hAnsi="Arial" w:cs="Arial"/>
          <w:szCs w:val="21"/>
        </w:rPr>
        <w:t>桂财采〔</w:t>
      </w:r>
      <w:r>
        <w:rPr>
          <w:rFonts w:ascii="Arial" w:hAnsi="Arial" w:cs="Arial"/>
          <w:szCs w:val="21"/>
        </w:rPr>
        <w:t>2015</w:t>
      </w:r>
      <w:r>
        <w:rPr>
          <w:rFonts w:hint="eastAsia" w:ascii="Arial" w:hAnsi="Arial" w:cs="Arial"/>
          <w:szCs w:val="21"/>
        </w:rPr>
        <w:t>〕</w:t>
      </w:r>
      <w:r>
        <w:rPr>
          <w:rFonts w:ascii="Arial" w:hAnsi="Arial" w:cs="Arial"/>
          <w:szCs w:val="21"/>
        </w:rPr>
        <w:t>22</w:t>
      </w:r>
      <w:r>
        <w:rPr>
          <w:rFonts w:hint="eastAsia" w:ascii="Arial" w:hAnsi="Arial" w:cs="Arial"/>
          <w:szCs w:val="21"/>
        </w:rPr>
        <w:t>号</w:t>
      </w:r>
      <w:r>
        <w:rPr>
          <w:rFonts w:ascii="Arial" w:hAnsi="Arial" w:cs="Arial"/>
          <w:szCs w:val="21"/>
        </w:rPr>
        <w:t>]</w:t>
      </w:r>
      <w:r>
        <w:rPr>
          <w:rFonts w:hint="eastAsia" w:ascii="Arial" w:hAnsi="Arial" w:cs="Arial"/>
          <w:szCs w:val="21"/>
        </w:rPr>
        <w:t>以及《财政部关于进一步加强政府采购需求和履约验收管理的指导意见》</w:t>
      </w:r>
      <w:r>
        <w:rPr>
          <w:rFonts w:ascii="Arial" w:hAnsi="Arial" w:cs="Arial"/>
          <w:szCs w:val="21"/>
        </w:rPr>
        <w:t>[</w:t>
      </w:r>
      <w:r>
        <w:rPr>
          <w:rFonts w:hint="eastAsia" w:ascii="Arial" w:hAnsi="Arial" w:cs="Arial"/>
          <w:szCs w:val="21"/>
        </w:rPr>
        <w:t>财库〔</w:t>
      </w:r>
      <w:r>
        <w:rPr>
          <w:rFonts w:ascii="Arial" w:hAnsi="Arial" w:cs="Arial"/>
          <w:szCs w:val="21"/>
        </w:rPr>
        <w:t>2016</w:t>
      </w:r>
      <w:r>
        <w:rPr>
          <w:rFonts w:hint="eastAsia" w:ascii="Arial" w:hAnsi="Arial" w:cs="Arial"/>
          <w:szCs w:val="21"/>
        </w:rPr>
        <w:t>〕</w:t>
      </w:r>
      <w:r>
        <w:rPr>
          <w:rFonts w:ascii="Arial" w:hAnsi="Arial" w:cs="Arial"/>
          <w:szCs w:val="21"/>
        </w:rPr>
        <w:t>205</w:t>
      </w:r>
      <w:r>
        <w:rPr>
          <w:rFonts w:hint="eastAsia" w:ascii="Arial" w:hAnsi="Arial" w:cs="Arial"/>
          <w:szCs w:val="21"/>
        </w:rPr>
        <w:t>号</w:t>
      </w:r>
      <w:r>
        <w:rPr>
          <w:rFonts w:ascii="Arial" w:hAnsi="Arial" w:cs="Arial"/>
          <w:szCs w:val="21"/>
        </w:rPr>
        <w:t>]</w:t>
      </w:r>
      <w:r>
        <w:rPr>
          <w:rFonts w:hint="eastAsia" w:ascii="Arial" w:hAnsi="Arial" w:cs="Arial"/>
          <w:szCs w:val="21"/>
        </w:rPr>
        <w:t>规定执行。</w:t>
      </w:r>
    </w:p>
    <w:p w14:paraId="0D03B736">
      <w:pPr>
        <w:snapToGrid w:val="0"/>
        <w:spacing w:line="380" w:lineRule="exact"/>
        <w:ind w:firstLine="422" w:firstLineChars="200"/>
        <w:rPr>
          <w:rFonts w:ascii="Arial" w:hAnsi="Arial" w:cs="Arial"/>
          <w:b/>
          <w:szCs w:val="21"/>
        </w:rPr>
      </w:pPr>
      <w:r>
        <w:rPr>
          <w:rFonts w:hint="eastAsia" w:ascii="Arial" w:hAnsi="Arial" w:cs="Arial"/>
          <w:b/>
          <w:szCs w:val="21"/>
        </w:rPr>
        <w:t>第十四条　违约责任</w:t>
      </w:r>
    </w:p>
    <w:p w14:paraId="20355643">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乙方所提供的货物规格、技术标准、材料等质量不合格的，应及时更换，更换不及时的按逾期交货处罚；因质量问题甲方不同意接收的或特殊情况甲方同意接收的，乙方应向甲方支付违约货款额</w:t>
      </w:r>
      <w:r>
        <w:rPr>
          <w:rFonts w:ascii="Arial" w:hAnsi="Arial" w:cs="Arial"/>
          <w:szCs w:val="21"/>
          <w:u w:val="single"/>
        </w:rPr>
        <w:t>5%</w:t>
      </w:r>
      <w:r>
        <w:rPr>
          <w:rFonts w:hint="eastAsia" w:ascii="Arial" w:hAnsi="Arial" w:cs="Arial"/>
          <w:szCs w:val="21"/>
        </w:rPr>
        <w:t>违约金并赔偿甲方经济损失，甲方同意接收不以为免除了乙方交付质量合格、型号等参数符合合同约定的货物的义务。</w:t>
      </w:r>
    </w:p>
    <w:p w14:paraId="2335A17B">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乙方提供的货物如侵犯了第三方合法权益而引发的任何纠纷或诉讼，均由乙方负责交涉并承担全部责任，如甲方因此向第三方承担了相关责任有权向乙方追偿全部损失（包括但不限于赔偿甲方损失、甲方为应诉而支出的律师费、保全费、诉讼费、财产保全保险费、公证费、鉴定费、检测费、差旅费等）。</w:t>
      </w:r>
    </w:p>
    <w:p w14:paraId="6149EC37">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因包装、运输引起的货物损坏，按质量不合格处罚。</w:t>
      </w:r>
    </w:p>
    <w:p w14:paraId="0B2D7B16">
      <w:pPr>
        <w:snapToGrid w:val="0"/>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乙方逾期交货的，逾期一天，向甲方偿付违约货款额</w:t>
      </w:r>
      <w:r>
        <w:rPr>
          <w:rFonts w:ascii="Arial" w:hAnsi="Arial" w:cs="Arial"/>
          <w:szCs w:val="21"/>
        </w:rPr>
        <w:t>3‰</w:t>
      </w:r>
      <w:r>
        <w:rPr>
          <w:rFonts w:hint="eastAsia" w:ascii="Arial" w:hAnsi="Arial" w:cs="Arial"/>
          <w:szCs w:val="21"/>
        </w:rPr>
        <w:t>违约金，超过</w:t>
      </w:r>
      <w:r>
        <w:rPr>
          <w:rFonts w:ascii="Arial" w:hAnsi="Arial" w:cs="Arial"/>
          <w:szCs w:val="21"/>
        </w:rPr>
        <w:t xml:space="preserve"> 17 </w:t>
      </w:r>
      <w:r>
        <w:rPr>
          <w:rFonts w:hint="eastAsia" w:ascii="Arial" w:hAnsi="Arial" w:cs="Arial"/>
          <w:szCs w:val="21"/>
        </w:rPr>
        <w:t>天甲方有权解除合同，若因乙方原因致使甲方遭受损失，乙方应就该损失承担持续的赔偿责任，直至甲方损失得到足额弥补 。</w:t>
      </w:r>
    </w:p>
    <w:p w14:paraId="436B5F01">
      <w:pPr>
        <w:snapToGrid w:val="0"/>
        <w:spacing w:line="380" w:lineRule="exact"/>
        <w:ind w:firstLine="420" w:firstLineChars="200"/>
        <w:rPr>
          <w:rFonts w:ascii="Arial" w:hAnsi="Arial" w:cs="Arial"/>
          <w:szCs w:val="21"/>
        </w:rPr>
      </w:pPr>
      <w:r>
        <w:rPr>
          <w:rFonts w:ascii="Arial" w:hAnsi="Arial" w:cs="Arial"/>
          <w:szCs w:val="21"/>
        </w:rPr>
        <w:t>5.</w:t>
      </w:r>
      <w:r>
        <w:rPr>
          <w:rFonts w:hint="eastAsia" w:ascii="Arial" w:hAnsi="Arial" w:cs="Arial"/>
          <w:szCs w:val="21"/>
        </w:rPr>
        <w:t>乙方未按本合同和投标文件中规定的服务承诺提供售后服务的，乙方应按本合同合计金额</w:t>
      </w:r>
      <w:r>
        <w:rPr>
          <w:rFonts w:ascii="Arial" w:hAnsi="Arial" w:cs="Arial"/>
          <w:szCs w:val="21"/>
          <w:u w:val="single"/>
        </w:rPr>
        <w:t xml:space="preserve"> 5%</w:t>
      </w:r>
      <w:r>
        <w:rPr>
          <w:rFonts w:hint="eastAsia" w:ascii="Arial" w:hAnsi="Arial" w:cs="Arial"/>
          <w:szCs w:val="21"/>
        </w:rPr>
        <w:t>向甲方支付违约金。如因乙方怠于履行售后服务导致甲方需委托第三方进行的，所产生的费用由乙方承担。</w:t>
      </w:r>
    </w:p>
    <w:p w14:paraId="1F24FA6C">
      <w:pPr>
        <w:snapToGrid w:val="0"/>
        <w:spacing w:line="380" w:lineRule="exact"/>
        <w:ind w:firstLine="420" w:firstLineChars="200"/>
        <w:rPr>
          <w:rFonts w:ascii="Arial" w:hAnsi="Arial" w:cs="Arial"/>
          <w:szCs w:val="21"/>
        </w:rPr>
      </w:pPr>
      <w:r>
        <w:rPr>
          <w:rFonts w:ascii="Arial" w:hAnsi="Arial" w:cs="Arial"/>
          <w:szCs w:val="21"/>
        </w:rPr>
        <w:t>6.</w:t>
      </w:r>
      <w:r>
        <w:rPr>
          <w:rFonts w:hint="eastAsia" w:ascii="Arial" w:hAnsi="Arial" w:cs="Arial"/>
          <w:szCs w:val="21"/>
        </w:rPr>
        <w:t>乙方提供的货物在质量保证期内，因设计、工艺或材料的缺陷和其它质量原因造成的问题，由乙方负责修复，如无法修复的乙方负责更换全新货物，或者按合同价向甲方赔偿经济损失。</w:t>
      </w:r>
    </w:p>
    <w:p w14:paraId="7CB60D39">
      <w:pPr>
        <w:snapToGrid w:val="0"/>
        <w:spacing w:line="380" w:lineRule="exact"/>
        <w:ind w:firstLine="411" w:firstLineChars="196"/>
        <w:rPr>
          <w:rFonts w:ascii="Arial" w:hAnsi="Arial" w:cs="Arial"/>
          <w:szCs w:val="21"/>
        </w:rPr>
      </w:pPr>
      <w:r>
        <w:rPr>
          <w:rFonts w:ascii="Arial" w:hAnsi="Arial" w:cs="Arial"/>
          <w:szCs w:val="21"/>
        </w:rPr>
        <w:t>7.</w:t>
      </w:r>
      <w:r>
        <w:rPr>
          <w:rFonts w:hint="eastAsia" w:ascii="Arial" w:hAnsi="Arial" w:cs="Arial"/>
          <w:szCs w:val="21"/>
        </w:rPr>
        <w:t>乙方提供虚假或无效发票的，应重新开具及提供合法有效发票给甲方，且乙方应按本合同合计金额</w:t>
      </w:r>
      <w:r>
        <w:rPr>
          <w:rFonts w:ascii="Arial" w:hAnsi="Arial" w:cs="Arial"/>
          <w:szCs w:val="21"/>
        </w:rPr>
        <w:t xml:space="preserve"> 5%</w:t>
      </w:r>
      <w:r>
        <w:rPr>
          <w:rFonts w:hint="eastAsia" w:ascii="Arial" w:hAnsi="Arial" w:cs="Arial"/>
          <w:szCs w:val="21"/>
        </w:rPr>
        <w:t>向甲方支付违约金。</w:t>
      </w:r>
    </w:p>
    <w:p w14:paraId="699360F0">
      <w:pPr>
        <w:snapToGrid w:val="0"/>
        <w:spacing w:line="380" w:lineRule="exact"/>
        <w:ind w:firstLine="411" w:firstLineChars="196"/>
        <w:rPr>
          <w:rFonts w:ascii="Arial" w:hAnsi="Arial" w:cs="Arial"/>
          <w:szCs w:val="21"/>
        </w:rPr>
      </w:pPr>
      <w:r>
        <w:rPr>
          <w:rFonts w:ascii="Arial" w:hAnsi="Arial" w:cs="Arial"/>
          <w:szCs w:val="21"/>
        </w:rPr>
        <w:t>8.</w:t>
      </w:r>
      <w:r>
        <w:rPr>
          <w:rFonts w:hint="eastAsia" w:ascii="Arial" w:hAnsi="Arial" w:cs="Arial"/>
          <w:szCs w:val="21"/>
        </w:rPr>
        <w:t>未经甲方同意擅自转让合同义务的，甲方有权解除合同且乙方应按本合同合计金额</w:t>
      </w:r>
      <w:r>
        <w:rPr>
          <w:rFonts w:ascii="Arial" w:hAnsi="Arial" w:cs="Arial"/>
          <w:szCs w:val="21"/>
        </w:rPr>
        <w:t xml:space="preserve"> 20%</w:t>
      </w:r>
      <w:r>
        <w:rPr>
          <w:rFonts w:hint="eastAsia" w:ascii="Arial" w:hAnsi="Arial" w:cs="Arial"/>
          <w:szCs w:val="21"/>
        </w:rPr>
        <w:t>向甲方支付违约金。</w:t>
      </w:r>
    </w:p>
    <w:p w14:paraId="5CAF1AAD">
      <w:pPr>
        <w:snapToGrid w:val="0"/>
        <w:spacing w:line="380" w:lineRule="exact"/>
        <w:ind w:firstLine="411" w:firstLineChars="196"/>
        <w:rPr>
          <w:rFonts w:ascii="Arial" w:hAnsi="Arial" w:cs="Arial"/>
          <w:szCs w:val="21"/>
        </w:rPr>
      </w:pPr>
      <w:r>
        <w:rPr>
          <w:rFonts w:ascii="Arial" w:hAnsi="Arial" w:cs="Arial"/>
          <w:szCs w:val="21"/>
        </w:rPr>
        <w:t>9.</w:t>
      </w:r>
      <w:r>
        <w:rPr>
          <w:rFonts w:hint="eastAsia" w:ascii="Arial" w:hAnsi="Arial" w:cs="Arial"/>
          <w:szCs w:val="21"/>
        </w:rPr>
        <w:t>乙方自甲方通知安装、调试之日起十日内拒不履行安装、调试义务的，乙方应按本合同合计金额</w:t>
      </w:r>
      <w:r>
        <w:rPr>
          <w:rFonts w:ascii="Arial" w:hAnsi="Arial" w:cs="Arial"/>
          <w:szCs w:val="21"/>
        </w:rPr>
        <w:t xml:space="preserve"> 5%</w:t>
      </w:r>
      <w:r>
        <w:rPr>
          <w:rFonts w:hint="eastAsia" w:ascii="Arial" w:hAnsi="Arial" w:cs="Arial"/>
          <w:szCs w:val="21"/>
        </w:rPr>
        <w:t>向甲方支付违约金，情形严重的，甲方有权拒绝支付货款、委托第三方协助安装、调试，由此产生的损失由乙方承担。</w:t>
      </w:r>
    </w:p>
    <w:p w14:paraId="7E4E889C">
      <w:pPr>
        <w:snapToGrid w:val="0"/>
        <w:spacing w:line="380" w:lineRule="exact"/>
        <w:ind w:firstLine="411" w:firstLineChars="196"/>
        <w:rPr>
          <w:rFonts w:ascii="Arial" w:hAnsi="Arial" w:cs="Arial"/>
          <w:szCs w:val="21"/>
        </w:rPr>
      </w:pPr>
      <w:r>
        <w:rPr>
          <w:rFonts w:ascii="Arial" w:hAnsi="Arial" w:cs="Arial"/>
          <w:szCs w:val="21"/>
        </w:rPr>
        <w:t>10.</w:t>
      </w:r>
      <w:r>
        <w:rPr>
          <w:rFonts w:hint="eastAsia" w:ascii="Arial" w:hAnsi="Arial" w:cs="Arial"/>
          <w:szCs w:val="21"/>
        </w:rPr>
        <w:t>其他违约行为按违约货款额</w:t>
      </w:r>
      <w:r>
        <w:rPr>
          <w:rFonts w:ascii="Arial" w:hAnsi="Arial" w:cs="Arial"/>
          <w:szCs w:val="21"/>
        </w:rPr>
        <w:t>5%</w:t>
      </w:r>
      <w:r>
        <w:rPr>
          <w:rFonts w:hint="eastAsia" w:ascii="Arial" w:hAnsi="Arial" w:cs="Arial"/>
          <w:szCs w:val="21"/>
        </w:rPr>
        <w:t>收取违约金并赔偿经济损失（本合同约定的损失包括但不限于赔偿款、甲方因维权而支出的律师费、诉讼费、保全费、财产保全保险费公证费、鉴定费、检测费、差旅费等）。</w:t>
      </w:r>
    </w:p>
    <w:p w14:paraId="13053814">
      <w:pPr>
        <w:snapToGrid w:val="0"/>
        <w:spacing w:line="380" w:lineRule="exact"/>
        <w:ind w:firstLine="413" w:firstLineChars="196"/>
        <w:rPr>
          <w:rFonts w:ascii="Arial" w:hAnsi="Arial" w:cs="Arial"/>
          <w:b/>
          <w:szCs w:val="21"/>
        </w:rPr>
      </w:pPr>
      <w:r>
        <w:rPr>
          <w:rFonts w:hint="eastAsia" w:ascii="Arial" w:hAnsi="Arial" w:cs="Arial"/>
          <w:b/>
          <w:szCs w:val="21"/>
        </w:rPr>
        <w:t>第十五条不可抗力事件处理</w:t>
      </w:r>
    </w:p>
    <w:p w14:paraId="1F24029F">
      <w:pPr>
        <w:snapToGrid w:val="0"/>
        <w:spacing w:line="380" w:lineRule="exact"/>
        <w:ind w:firstLine="420" w:firstLineChars="200"/>
        <w:rPr>
          <w:rFonts w:ascii="Arial" w:hAnsi="Arial" w:cs="Arial"/>
          <w:szCs w:val="21"/>
        </w:rPr>
      </w:pPr>
      <w:r>
        <w:rPr>
          <w:rFonts w:ascii="Arial" w:hAnsi="Arial" w:cs="Arial"/>
          <w:szCs w:val="21"/>
        </w:rPr>
        <w:t xml:space="preserve">1. </w:t>
      </w:r>
      <w:r>
        <w:rPr>
          <w:rFonts w:hint="eastAsia" w:ascii="Arial" w:hAnsi="Arial" w:cs="Arial"/>
          <w:szCs w:val="21"/>
        </w:rPr>
        <w:t>在合同有效期内，任何一方因不可抗力事件导致不能履行合同，则合同履行期可延长，其延长期与不可抗力影响期相同。</w:t>
      </w:r>
    </w:p>
    <w:p w14:paraId="280DE693">
      <w:pPr>
        <w:snapToGrid w:val="0"/>
        <w:spacing w:line="380" w:lineRule="exact"/>
        <w:ind w:firstLine="420" w:firstLineChars="200"/>
        <w:rPr>
          <w:rFonts w:ascii="Arial" w:hAnsi="Arial" w:cs="Arial"/>
          <w:szCs w:val="21"/>
        </w:rPr>
      </w:pPr>
      <w:r>
        <w:rPr>
          <w:rFonts w:ascii="Arial" w:hAnsi="Arial" w:cs="Arial"/>
          <w:szCs w:val="21"/>
        </w:rPr>
        <w:t xml:space="preserve">2. </w:t>
      </w:r>
      <w:r>
        <w:rPr>
          <w:rFonts w:hint="eastAsia" w:ascii="Arial" w:hAnsi="Arial" w:cs="Arial"/>
          <w:szCs w:val="21"/>
        </w:rPr>
        <w:t>不可抗力事件发生后，应立即通知对方，并寄送有关权威机构出具的证明。</w:t>
      </w:r>
    </w:p>
    <w:p w14:paraId="3719687A">
      <w:pPr>
        <w:snapToGrid w:val="0"/>
        <w:spacing w:line="380" w:lineRule="exact"/>
        <w:ind w:firstLine="420" w:firstLineChars="200"/>
        <w:rPr>
          <w:rFonts w:ascii="Arial" w:hAnsi="Arial" w:cs="Arial"/>
          <w:szCs w:val="21"/>
        </w:rPr>
      </w:pPr>
      <w:r>
        <w:rPr>
          <w:rFonts w:ascii="Arial" w:hAnsi="Arial" w:cs="Arial"/>
          <w:szCs w:val="21"/>
        </w:rPr>
        <w:t xml:space="preserve">3. </w:t>
      </w:r>
      <w:r>
        <w:rPr>
          <w:rFonts w:hint="eastAsia" w:ascii="Arial" w:hAnsi="Arial" w:cs="Arial"/>
          <w:szCs w:val="21"/>
        </w:rPr>
        <w:t>不可抗力事件延续一百二十天以上，双方应通过友好协商，确定是否继续履行合同。</w:t>
      </w:r>
    </w:p>
    <w:p w14:paraId="7E8FC487">
      <w:pPr>
        <w:snapToGrid w:val="0"/>
        <w:spacing w:line="380" w:lineRule="exact"/>
        <w:ind w:firstLine="422" w:firstLineChars="200"/>
        <w:rPr>
          <w:rFonts w:ascii="Arial" w:hAnsi="Arial" w:cs="Arial"/>
          <w:szCs w:val="21"/>
        </w:rPr>
      </w:pPr>
      <w:r>
        <w:rPr>
          <w:rFonts w:hint="eastAsia" w:ascii="Arial" w:hAnsi="Arial" w:cs="Arial"/>
          <w:b/>
          <w:szCs w:val="21"/>
        </w:rPr>
        <w:t>第十六条合同争议解决</w:t>
      </w:r>
    </w:p>
    <w:p w14:paraId="0DD8EB50">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因货物质量问题发生争议的，应邀请国家认可的质量检测机构按照国家标准对货物质量进行验收。货物符合国家标准的，鉴定费由甲方承担；货物不符合国家标准的，鉴定费由乙方承担。</w:t>
      </w:r>
    </w:p>
    <w:p w14:paraId="73DFEB46">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因履行本合同引起的或与本合同有关的争议，甲乙双方应首先通过友好协商解决，如果协商不能解决，可向甲方所在地人民法院提起诉讼。</w:t>
      </w:r>
    </w:p>
    <w:p w14:paraId="72F5F03F">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诉讼期间，本合同继续履行。</w:t>
      </w:r>
    </w:p>
    <w:p w14:paraId="1D0D1E57">
      <w:pPr>
        <w:snapToGrid w:val="0"/>
        <w:spacing w:line="380" w:lineRule="exact"/>
        <w:ind w:firstLine="422" w:firstLineChars="200"/>
        <w:rPr>
          <w:rFonts w:ascii="Arial" w:hAnsi="Arial" w:cs="Arial"/>
          <w:b/>
          <w:szCs w:val="21"/>
        </w:rPr>
      </w:pPr>
      <w:r>
        <w:rPr>
          <w:rFonts w:hint="eastAsia" w:ascii="Arial" w:hAnsi="Arial" w:cs="Arial"/>
          <w:b/>
          <w:szCs w:val="21"/>
        </w:rPr>
        <w:t>第十七条合同生效及其它</w:t>
      </w:r>
    </w:p>
    <w:p w14:paraId="1B28FDF7">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．本合同履行期限为：</w:t>
      </w:r>
      <w:r>
        <w:rPr>
          <w:rFonts w:hint="eastAsia" w:ascii="Arial" w:hAnsi="Arial" w:cs="Arial"/>
          <w:szCs w:val="21"/>
          <w:u w:val="single"/>
        </w:rPr>
        <w:t>按照本合同约定</w:t>
      </w:r>
      <w:r>
        <w:rPr>
          <w:rFonts w:hint="eastAsia" w:ascii="Arial" w:hAnsi="Arial" w:cs="Arial"/>
          <w:szCs w:val="21"/>
        </w:rPr>
        <w:t>；合同履行地点为：</w:t>
      </w:r>
      <w:r>
        <w:rPr>
          <w:rFonts w:hint="eastAsia" w:ascii="Arial" w:hAnsi="Arial" w:cs="Arial"/>
          <w:szCs w:val="21"/>
          <w:u w:val="single"/>
        </w:rPr>
        <w:t>广西南宁市</w:t>
      </w:r>
      <w:r>
        <w:rPr>
          <w:rFonts w:hint="eastAsia" w:ascii="Arial" w:hAnsi="Arial" w:cs="Arial"/>
          <w:szCs w:val="21"/>
        </w:rPr>
        <w:t>；合同履行的方式：</w:t>
      </w:r>
      <w:r>
        <w:rPr>
          <w:rFonts w:hint="eastAsia" w:ascii="Arial" w:hAnsi="Arial" w:cs="Arial"/>
          <w:szCs w:val="21"/>
          <w:u w:val="single"/>
        </w:rPr>
        <w:t>按照本合同约定</w:t>
      </w:r>
      <w:r>
        <w:rPr>
          <w:rFonts w:hint="eastAsia" w:ascii="Arial" w:hAnsi="Arial" w:cs="Arial"/>
          <w:szCs w:val="21"/>
        </w:rPr>
        <w:t>。</w:t>
      </w:r>
    </w:p>
    <w:p w14:paraId="3DAE3442">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．合同经双方法定代表人或授权代表签字并加盖单位公章后生效。</w:t>
      </w:r>
    </w:p>
    <w:p w14:paraId="6E6A0D11">
      <w:pPr>
        <w:snapToGrid w:val="0"/>
        <w:spacing w:line="380" w:lineRule="exact"/>
        <w:ind w:firstLine="420" w:firstLineChars="200"/>
        <w:rPr>
          <w:rFonts w:ascii="Arial" w:hAnsi="Arial" w:cs="Arial"/>
          <w:szCs w:val="21"/>
        </w:rPr>
      </w:pPr>
      <w:r>
        <w:rPr>
          <w:rFonts w:hint="eastAsia" w:ascii="Arial" w:hAnsi="Arial" w:cs="Arial"/>
          <w:szCs w:val="21"/>
        </w:rPr>
        <w:t>3．本合同未尽.事宜，遵照《中华人民共和国民法典》有关条文执行。</w:t>
      </w:r>
    </w:p>
    <w:p w14:paraId="577D7473">
      <w:pPr>
        <w:snapToGrid w:val="0"/>
        <w:spacing w:line="380" w:lineRule="exact"/>
        <w:ind w:firstLine="422" w:firstLineChars="200"/>
        <w:rPr>
          <w:rFonts w:ascii="Arial" w:hAnsi="Arial" w:cs="Arial"/>
          <w:b/>
          <w:szCs w:val="21"/>
        </w:rPr>
      </w:pPr>
      <w:r>
        <w:rPr>
          <w:rFonts w:hint="eastAsia" w:ascii="Arial" w:hAnsi="Arial" w:cs="Arial"/>
          <w:b/>
          <w:szCs w:val="21"/>
        </w:rPr>
        <w:t>第十八条　合同的变更、终止与转让</w:t>
      </w:r>
    </w:p>
    <w:p w14:paraId="2885CA4C">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除《中华人民共和国政府采购法》第五十条规定的情形外，本合同一经签订，甲乙双方不得擅自变更、中止或终止。</w:t>
      </w:r>
    </w:p>
    <w:p w14:paraId="5F5D8DD8">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未经甲方书面同意，乙方不得擅自转让（无进口资格的乙方委托进口货物除外）其应履行的合同义务，一经发现则按照本合同第十四条第八款处理。</w:t>
      </w:r>
    </w:p>
    <w:p w14:paraId="471DD078">
      <w:pPr>
        <w:snapToGrid w:val="0"/>
        <w:spacing w:line="380" w:lineRule="exact"/>
        <w:ind w:firstLine="422" w:firstLineChars="200"/>
        <w:rPr>
          <w:rFonts w:ascii="Arial" w:hAnsi="Arial" w:cs="Arial"/>
          <w:b/>
          <w:szCs w:val="21"/>
        </w:rPr>
      </w:pPr>
      <w:r>
        <w:rPr>
          <w:rFonts w:hint="eastAsia" w:ascii="Arial" w:hAnsi="Arial" w:cs="Arial"/>
          <w:b/>
          <w:szCs w:val="21"/>
        </w:rPr>
        <w:t>第十九条　签订本合同依据</w:t>
      </w:r>
    </w:p>
    <w:p w14:paraId="52633BB2">
      <w:pPr>
        <w:pStyle w:val="7"/>
        <w:numPr>
          <w:ilvl w:val="0"/>
          <w:numId w:val="3"/>
        </w:numPr>
        <w:snapToGrid w:val="0"/>
        <w:spacing w:line="380" w:lineRule="exact"/>
        <w:ind w:firstLineChars="0"/>
        <w:rPr>
          <w:rFonts w:hint="eastAsia" w:ascii="Arial" w:hAnsi="Arial" w:cs="Arial"/>
          <w:szCs w:val="21"/>
        </w:rPr>
      </w:pPr>
      <w:r>
        <w:rPr>
          <w:rFonts w:hint="eastAsia" w:ascii="Arial" w:hAnsi="Arial" w:cs="Arial"/>
          <w:szCs w:val="21"/>
        </w:rPr>
        <w:t>公开询价文件；</w:t>
      </w:r>
    </w:p>
    <w:p w14:paraId="38DC2C1B">
      <w:pPr>
        <w:pStyle w:val="7"/>
        <w:numPr>
          <w:ilvl w:val="0"/>
          <w:numId w:val="3"/>
        </w:numPr>
        <w:snapToGrid w:val="0"/>
        <w:spacing w:line="380" w:lineRule="exact"/>
        <w:ind w:firstLineChars="0"/>
        <w:rPr>
          <w:rFonts w:hint="eastAsia" w:ascii="Arial" w:hAnsi="Arial" w:cs="Arial"/>
          <w:szCs w:val="21"/>
        </w:rPr>
      </w:pPr>
      <w:r>
        <w:rPr>
          <w:rFonts w:hint="eastAsia" w:ascii="Arial" w:hAnsi="Arial" w:cs="Arial"/>
          <w:szCs w:val="21"/>
        </w:rPr>
        <w:t>乙方提供的采购需求及响应报价表；</w:t>
      </w:r>
    </w:p>
    <w:p w14:paraId="35B7CFC8">
      <w:pPr>
        <w:pStyle w:val="7"/>
        <w:numPr>
          <w:ilvl w:val="0"/>
          <w:numId w:val="3"/>
        </w:numPr>
        <w:snapToGrid w:val="0"/>
        <w:spacing w:line="380" w:lineRule="exact"/>
        <w:ind w:firstLineChars="0"/>
        <w:rPr>
          <w:rFonts w:ascii="Arial" w:hAnsi="Arial" w:cs="Arial"/>
          <w:szCs w:val="21"/>
        </w:rPr>
      </w:pPr>
      <w:r>
        <w:rPr>
          <w:rFonts w:hint="eastAsia" w:ascii="Arial" w:hAnsi="Arial" w:cs="Arial"/>
          <w:szCs w:val="21"/>
        </w:rPr>
        <w:t>广西中医药大学学校询价采购供应商确定表；</w:t>
      </w:r>
    </w:p>
    <w:p w14:paraId="3E28032E">
      <w:pPr>
        <w:snapToGrid w:val="0"/>
        <w:spacing w:line="380" w:lineRule="exact"/>
        <w:ind w:firstLine="422" w:firstLineChars="200"/>
        <w:rPr>
          <w:rFonts w:ascii="Arial" w:hAnsi="Arial" w:cs="Arial"/>
          <w:szCs w:val="21"/>
        </w:rPr>
      </w:pPr>
      <w:r>
        <w:rPr>
          <w:rFonts w:hint="eastAsia" w:ascii="Arial" w:hAnsi="Arial" w:cs="Arial"/>
          <w:b/>
          <w:szCs w:val="21"/>
        </w:rPr>
        <w:t>第二十条　</w:t>
      </w:r>
      <w:r>
        <w:rPr>
          <w:rFonts w:hint="eastAsia" w:ascii="Arial" w:hAnsi="Arial" w:cs="Arial"/>
          <w:szCs w:val="21"/>
        </w:rPr>
        <w:t>本合同一式肆份，具有同等法律效力，甲方叁份，乙方和采购代理机构各壹份。本合同自甲乙双方签字盖章之日起生效。若乙方签章处非法人签字，乙方补充提交法人签字的授权文件并作为本协议的附件。（以下无正文）</w:t>
      </w:r>
    </w:p>
    <w:tbl>
      <w:tblPr>
        <w:tblStyle w:val="4"/>
        <w:tblpPr w:leftFromText="180" w:rightFromText="180" w:vertAnchor="text" w:horzAnchor="page" w:tblpX="1845" w:tblpY="285"/>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0610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4520" w:type="dxa"/>
            <w:noWrap/>
            <w:vAlign w:val="center"/>
          </w:tcPr>
          <w:p w14:paraId="711C007A">
            <w:pPr>
              <w:widowControl/>
              <w:snapToGrid w:val="0"/>
              <w:spacing w:line="340" w:lineRule="exact"/>
              <w:jc w:val="left"/>
              <w:rPr>
                <w:rFonts w:ascii="Arial" w:hAnsi="Arial" w:cs="Arial"/>
                <w:szCs w:val="21"/>
              </w:rPr>
            </w:pPr>
            <w:r>
              <w:rPr>
                <w:rFonts w:ascii="Arial" w:hAnsi="Arial" w:cs="Arial"/>
                <w:szCs w:val="21"/>
              </w:rPr>
              <w:t>甲方（章）</w:t>
            </w:r>
            <w:r>
              <w:rPr>
                <w:rFonts w:hint="eastAsia" w:ascii="Arial" w:hAnsi="Arial" w:cs="Arial"/>
                <w:szCs w:val="21"/>
              </w:rPr>
              <w:t xml:space="preserve">广西中医药大学 </w:t>
            </w:r>
          </w:p>
          <w:p w14:paraId="3D2145E9">
            <w:pPr>
              <w:widowControl/>
              <w:snapToGrid w:val="0"/>
              <w:spacing w:line="340" w:lineRule="exact"/>
              <w:jc w:val="left"/>
              <w:rPr>
                <w:rFonts w:ascii="Arial" w:hAnsi="Arial" w:cs="Arial"/>
                <w:szCs w:val="21"/>
              </w:rPr>
            </w:pPr>
          </w:p>
          <w:p w14:paraId="03BF5D01">
            <w:pPr>
              <w:widowControl/>
              <w:snapToGrid w:val="0"/>
              <w:spacing w:line="340" w:lineRule="exact"/>
              <w:ind w:firstLine="945"/>
              <w:jc w:val="right"/>
              <w:rPr>
                <w:rFonts w:ascii="Arial" w:hAnsi="Arial" w:cs="Arial"/>
                <w:szCs w:val="21"/>
              </w:rPr>
            </w:pPr>
          </w:p>
        </w:tc>
        <w:tc>
          <w:tcPr>
            <w:tcW w:w="4520" w:type="dxa"/>
            <w:noWrap/>
            <w:vAlign w:val="center"/>
          </w:tcPr>
          <w:p w14:paraId="5DDF2C04">
            <w:pPr>
              <w:widowControl/>
              <w:snapToGrid w:val="0"/>
              <w:spacing w:line="340" w:lineRule="exact"/>
              <w:jc w:val="left"/>
              <w:rPr>
                <w:rFonts w:ascii="Arial" w:hAnsi="Arial" w:cs="Arial"/>
                <w:szCs w:val="21"/>
              </w:rPr>
            </w:pPr>
            <w:r>
              <w:rPr>
                <w:rFonts w:ascii="Arial" w:hAnsi="Arial" w:cs="Arial"/>
                <w:szCs w:val="21"/>
              </w:rPr>
              <w:t>乙方（章）</w:t>
            </w:r>
          </w:p>
          <w:p w14:paraId="3A3A6F6E">
            <w:pPr>
              <w:widowControl/>
              <w:snapToGrid w:val="0"/>
              <w:spacing w:line="340" w:lineRule="exact"/>
              <w:jc w:val="right"/>
              <w:rPr>
                <w:rFonts w:ascii="Arial" w:hAnsi="Arial" w:cs="Arial"/>
                <w:szCs w:val="21"/>
              </w:rPr>
            </w:pPr>
          </w:p>
        </w:tc>
      </w:tr>
      <w:tr w14:paraId="359C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4520" w:type="dxa"/>
            <w:noWrap/>
            <w:vAlign w:val="center"/>
          </w:tcPr>
          <w:p w14:paraId="53B3E5EF">
            <w:pPr>
              <w:widowControl/>
              <w:snapToGrid w:val="0"/>
              <w:spacing w:line="340" w:lineRule="exact"/>
              <w:jc w:val="left"/>
              <w:rPr>
                <w:rFonts w:ascii="Arial" w:hAnsi="Arial" w:cs="Arial"/>
                <w:szCs w:val="21"/>
              </w:rPr>
            </w:pPr>
            <w:r>
              <w:rPr>
                <w:rFonts w:hint="eastAsia" w:ascii="Arial" w:hAnsi="Arial" w:cs="Arial"/>
                <w:szCs w:val="21"/>
              </w:rPr>
              <w:t>单位地址：南宁市青秀区五合大道13号</w:t>
            </w:r>
          </w:p>
        </w:tc>
        <w:tc>
          <w:tcPr>
            <w:tcW w:w="4520" w:type="dxa"/>
            <w:noWrap/>
            <w:vAlign w:val="center"/>
          </w:tcPr>
          <w:p w14:paraId="623F3B0C">
            <w:pPr>
              <w:widowControl/>
              <w:snapToGrid w:val="0"/>
              <w:spacing w:line="340" w:lineRule="exact"/>
              <w:jc w:val="left"/>
              <w:rPr>
                <w:rFonts w:ascii="Arial" w:hAnsi="Arial" w:cs="Arial"/>
                <w:szCs w:val="21"/>
              </w:rPr>
            </w:pPr>
            <w:r>
              <w:rPr>
                <w:rFonts w:ascii="Arial" w:hAnsi="Arial" w:cs="Arial"/>
                <w:szCs w:val="21"/>
              </w:rPr>
              <w:t>单位地址：</w:t>
            </w:r>
          </w:p>
        </w:tc>
      </w:tr>
      <w:tr w14:paraId="5E03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4520" w:type="dxa"/>
            <w:noWrap/>
            <w:vAlign w:val="center"/>
          </w:tcPr>
          <w:p w14:paraId="72458E73">
            <w:pPr>
              <w:widowControl/>
              <w:snapToGrid w:val="0"/>
              <w:spacing w:line="340" w:lineRule="exact"/>
              <w:jc w:val="left"/>
              <w:rPr>
                <w:rFonts w:ascii="Arial" w:hAnsi="Arial" w:cs="Arial"/>
                <w:szCs w:val="21"/>
              </w:rPr>
            </w:pPr>
            <w:r>
              <w:rPr>
                <w:rFonts w:hint="eastAsia" w:ascii="Arial" w:hAnsi="Arial" w:cs="Arial"/>
                <w:szCs w:val="21"/>
              </w:rPr>
              <w:t>法定代表人：</w:t>
            </w:r>
          </w:p>
        </w:tc>
        <w:tc>
          <w:tcPr>
            <w:tcW w:w="4520" w:type="dxa"/>
            <w:noWrap/>
            <w:vAlign w:val="center"/>
          </w:tcPr>
          <w:p w14:paraId="181CB26B">
            <w:pPr>
              <w:widowControl/>
              <w:snapToGrid w:val="0"/>
              <w:spacing w:line="340" w:lineRule="exact"/>
              <w:jc w:val="left"/>
              <w:rPr>
                <w:rFonts w:ascii="Arial" w:hAnsi="Arial" w:cs="Arial"/>
                <w:szCs w:val="21"/>
              </w:rPr>
            </w:pPr>
            <w:r>
              <w:rPr>
                <w:rFonts w:ascii="Arial" w:hAnsi="Arial" w:cs="Arial"/>
                <w:szCs w:val="21"/>
              </w:rPr>
              <w:t>法定代表人：</w:t>
            </w:r>
          </w:p>
        </w:tc>
      </w:tr>
      <w:tr w14:paraId="4448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trPr>
        <w:tc>
          <w:tcPr>
            <w:tcW w:w="4520" w:type="dxa"/>
            <w:noWrap/>
          </w:tcPr>
          <w:p w14:paraId="159927F7">
            <w:pPr>
              <w:widowControl/>
              <w:snapToGrid w:val="0"/>
              <w:spacing w:line="340" w:lineRule="exact"/>
              <w:rPr>
                <w:rFonts w:ascii="Arial" w:hAnsi="Arial" w:cs="Arial"/>
                <w:szCs w:val="21"/>
              </w:rPr>
            </w:pPr>
            <w:r>
              <w:rPr>
                <w:rFonts w:hint="eastAsia" w:ascii="Arial" w:hAnsi="Arial" w:cs="Arial"/>
                <w:szCs w:val="21"/>
              </w:rPr>
              <w:t>委托代理人：</w:t>
            </w:r>
            <w:r>
              <w:rPr>
                <w:rFonts w:hint="eastAsia" w:ascii="Arial" w:hAnsi="Arial" w:cs="Arial"/>
                <w:sz w:val="15"/>
                <w:szCs w:val="15"/>
              </w:rPr>
              <w:t>（说明：委托代理人签署合同须提交法定代表人签字的授权文件作为本合同的附件）</w:t>
            </w:r>
            <w:r>
              <w:rPr>
                <w:rFonts w:hint="eastAsia" w:ascii="Arial" w:hAnsi="Arial" w:cs="Arial"/>
                <w:szCs w:val="21"/>
              </w:rPr>
              <w:t>：</w:t>
            </w:r>
          </w:p>
        </w:tc>
        <w:tc>
          <w:tcPr>
            <w:tcW w:w="4520" w:type="dxa"/>
            <w:noWrap/>
          </w:tcPr>
          <w:p w14:paraId="39DAE900">
            <w:pPr>
              <w:widowControl/>
              <w:snapToGrid w:val="0"/>
              <w:spacing w:line="340" w:lineRule="exact"/>
              <w:rPr>
                <w:rFonts w:ascii="Arial" w:hAnsi="Arial" w:cs="Arial"/>
                <w:szCs w:val="21"/>
              </w:rPr>
            </w:pPr>
            <w:r>
              <w:rPr>
                <w:rFonts w:ascii="Arial" w:hAnsi="Arial" w:cs="Arial"/>
                <w:szCs w:val="21"/>
              </w:rPr>
              <w:t>委托代理人：</w:t>
            </w:r>
            <w:r>
              <w:rPr>
                <w:rFonts w:hint="eastAsia" w:ascii="Arial" w:hAnsi="Arial" w:cs="Arial"/>
                <w:sz w:val="15"/>
                <w:szCs w:val="15"/>
              </w:rPr>
              <w:t>（说明：委托代理人签署合同须提交法定代表人签字的授权文件作为本合同的附件。同时提供单位营业执照（复印件）、法定代表人身份证（复印件）及身份证明文件（原件）留存为合同附件）</w:t>
            </w:r>
            <w:r>
              <w:rPr>
                <w:rFonts w:hint="eastAsia" w:ascii="Arial" w:hAnsi="Arial" w:cs="Arial"/>
                <w:szCs w:val="21"/>
              </w:rPr>
              <w:t>：</w:t>
            </w:r>
          </w:p>
        </w:tc>
      </w:tr>
      <w:tr w14:paraId="0F3A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520" w:type="dxa"/>
            <w:noWrap/>
            <w:vAlign w:val="center"/>
          </w:tcPr>
          <w:p w14:paraId="362CAD77">
            <w:pPr>
              <w:widowControl/>
              <w:snapToGrid w:val="0"/>
              <w:spacing w:line="340" w:lineRule="exact"/>
              <w:jc w:val="left"/>
              <w:rPr>
                <w:rFonts w:ascii="Arial" w:hAnsi="Arial" w:cs="Arial"/>
                <w:szCs w:val="21"/>
              </w:rPr>
            </w:pPr>
            <w:r>
              <w:rPr>
                <w:rFonts w:hint="eastAsia" w:ascii="Arial" w:hAnsi="Arial" w:cs="Arial"/>
                <w:szCs w:val="21"/>
              </w:rPr>
              <w:t>电话：0771-4733924</w:t>
            </w:r>
          </w:p>
        </w:tc>
        <w:tc>
          <w:tcPr>
            <w:tcW w:w="4520" w:type="dxa"/>
            <w:noWrap/>
            <w:vAlign w:val="center"/>
          </w:tcPr>
          <w:p w14:paraId="79ECA6F5">
            <w:pPr>
              <w:widowControl/>
              <w:snapToGrid w:val="0"/>
              <w:spacing w:line="340" w:lineRule="exact"/>
              <w:jc w:val="left"/>
              <w:rPr>
                <w:rFonts w:ascii="Arial" w:hAnsi="Arial" w:cs="Arial"/>
                <w:szCs w:val="21"/>
              </w:rPr>
            </w:pPr>
            <w:r>
              <w:rPr>
                <w:rFonts w:ascii="Arial" w:hAnsi="Arial" w:cs="Arial"/>
                <w:szCs w:val="21"/>
              </w:rPr>
              <w:t>电话：</w:t>
            </w:r>
          </w:p>
        </w:tc>
      </w:tr>
      <w:tr w14:paraId="1BD8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520" w:type="dxa"/>
            <w:noWrap/>
            <w:vAlign w:val="center"/>
          </w:tcPr>
          <w:p w14:paraId="55F2F40C">
            <w:pPr>
              <w:widowControl/>
              <w:snapToGrid w:val="0"/>
              <w:spacing w:line="340" w:lineRule="exact"/>
              <w:jc w:val="left"/>
              <w:rPr>
                <w:rFonts w:ascii="Arial" w:hAnsi="Arial" w:cs="Arial"/>
                <w:szCs w:val="21"/>
              </w:rPr>
            </w:pPr>
            <w:r>
              <w:rPr>
                <w:rFonts w:hint="eastAsia" w:ascii="Arial" w:hAnsi="Arial" w:cs="Arial"/>
                <w:szCs w:val="21"/>
              </w:rPr>
              <w:t>电子邮箱：</w:t>
            </w:r>
          </w:p>
        </w:tc>
        <w:tc>
          <w:tcPr>
            <w:tcW w:w="4520" w:type="dxa"/>
            <w:noWrap/>
            <w:vAlign w:val="center"/>
          </w:tcPr>
          <w:p w14:paraId="32384C37">
            <w:pPr>
              <w:widowControl/>
              <w:snapToGrid w:val="0"/>
              <w:spacing w:line="340" w:lineRule="exact"/>
              <w:jc w:val="left"/>
              <w:rPr>
                <w:rFonts w:ascii="Arial" w:hAnsi="Arial" w:cs="Arial"/>
                <w:szCs w:val="21"/>
              </w:rPr>
            </w:pPr>
            <w:r>
              <w:rPr>
                <w:rFonts w:ascii="Arial" w:hAnsi="Arial" w:cs="Arial"/>
                <w:szCs w:val="21"/>
              </w:rPr>
              <w:t>电子邮箱：</w:t>
            </w:r>
          </w:p>
        </w:tc>
      </w:tr>
      <w:tr w14:paraId="172C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4520" w:type="dxa"/>
            <w:noWrap/>
            <w:vAlign w:val="center"/>
          </w:tcPr>
          <w:p w14:paraId="5DA630F7">
            <w:pPr>
              <w:widowControl/>
              <w:snapToGrid w:val="0"/>
              <w:spacing w:line="340" w:lineRule="exact"/>
              <w:jc w:val="left"/>
              <w:rPr>
                <w:rFonts w:ascii="Arial" w:hAnsi="Arial" w:cs="Arial"/>
                <w:szCs w:val="21"/>
              </w:rPr>
            </w:pPr>
            <w:r>
              <w:rPr>
                <w:rFonts w:hint="eastAsia" w:ascii="Arial" w:hAnsi="Arial" w:cs="Arial"/>
                <w:szCs w:val="21"/>
              </w:rPr>
              <w:t>开户银行：中国银行股份有限公司南宁市明秀东支行</w:t>
            </w:r>
          </w:p>
        </w:tc>
        <w:tc>
          <w:tcPr>
            <w:tcW w:w="4520" w:type="dxa"/>
            <w:noWrap/>
            <w:vAlign w:val="center"/>
          </w:tcPr>
          <w:p w14:paraId="6F45BD74">
            <w:pPr>
              <w:widowControl/>
              <w:snapToGrid w:val="0"/>
              <w:spacing w:line="340" w:lineRule="exact"/>
              <w:jc w:val="left"/>
              <w:rPr>
                <w:rFonts w:ascii="Arial" w:hAnsi="Arial" w:cs="Arial"/>
                <w:szCs w:val="21"/>
              </w:rPr>
            </w:pPr>
            <w:r>
              <w:rPr>
                <w:rFonts w:ascii="Arial" w:hAnsi="Arial" w:cs="Arial"/>
                <w:szCs w:val="21"/>
              </w:rPr>
              <w:t>开户银行：</w:t>
            </w:r>
          </w:p>
        </w:tc>
      </w:tr>
      <w:tr w14:paraId="0190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520" w:type="dxa"/>
            <w:noWrap/>
            <w:vAlign w:val="center"/>
          </w:tcPr>
          <w:p w14:paraId="42966A39">
            <w:pPr>
              <w:widowControl/>
              <w:spacing w:line="340" w:lineRule="exact"/>
              <w:jc w:val="left"/>
              <w:rPr>
                <w:rFonts w:ascii="Arial" w:hAnsi="Arial" w:cs="Arial"/>
                <w:szCs w:val="21"/>
              </w:rPr>
            </w:pPr>
            <w:r>
              <w:rPr>
                <w:rFonts w:hint="eastAsia" w:ascii="Arial" w:hAnsi="Arial" w:cs="Arial"/>
                <w:szCs w:val="21"/>
              </w:rPr>
              <w:t>账号： 6210 5749 8215</w:t>
            </w:r>
          </w:p>
        </w:tc>
        <w:tc>
          <w:tcPr>
            <w:tcW w:w="4520" w:type="dxa"/>
            <w:noWrap/>
            <w:vAlign w:val="center"/>
          </w:tcPr>
          <w:p w14:paraId="42392C36">
            <w:pPr>
              <w:widowControl/>
              <w:snapToGrid w:val="0"/>
              <w:spacing w:line="340" w:lineRule="exact"/>
              <w:jc w:val="left"/>
              <w:rPr>
                <w:rFonts w:ascii="Arial" w:hAnsi="Arial" w:cs="Arial"/>
                <w:szCs w:val="21"/>
              </w:rPr>
            </w:pPr>
            <w:r>
              <w:rPr>
                <w:rFonts w:ascii="Arial" w:hAnsi="Arial" w:cs="Arial"/>
                <w:szCs w:val="21"/>
              </w:rPr>
              <w:t>账号：</w:t>
            </w:r>
          </w:p>
        </w:tc>
      </w:tr>
      <w:tr w14:paraId="35A7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4520" w:type="dxa"/>
            <w:noWrap/>
            <w:vAlign w:val="center"/>
          </w:tcPr>
          <w:p w14:paraId="74C4A973">
            <w:pPr>
              <w:widowControl/>
              <w:snapToGrid w:val="0"/>
              <w:spacing w:line="340" w:lineRule="exact"/>
              <w:jc w:val="left"/>
              <w:rPr>
                <w:rFonts w:ascii="Arial" w:hAnsi="Arial" w:cs="Arial"/>
                <w:szCs w:val="21"/>
              </w:rPr>
            </w:pPr>
            <w:r>
              <w:rPr>
                <w:rFonts w:hint="eastAsia" w:ascii="Arial" w:hAnsi="Arial" w:cs="Arial"/>
                <w:szCs w:val="21"/>
              </w:rPr>
              <w:t>纳税人识别号或统一社会信用代码：</w:t>
            </w:r>
          </w:p>
          <w:p w14:paraId="33429110">
            <w:pPr>
              <w:widowControl/>
              <w:snapToGrid w:val="0"/>
              <w:spacing w:line="340" w:lineRule="exact"/>
              <w:jc w:val="left"/>
              <w:rPr>
                <w:rFonts w:ascii="Arial" w:hAnsi="Arial" w:cs="Arial"/>
                <w:szCs w:val="21"/>
              </w:rPr>
            </w:pPr>
            <w:r>
              <w:rPr>
                <w:rFonts w:ascii="Arial" w:hAnsi="Arial" w:cs="Arial"/>
                <w:szCs w:val="21"/>
              </w:rPr>
              <w:t>12450000498502664R</w:t>
            </w:r>
          </w:p>
        </w:tc>
        <w:tc>
          <w:tcPr>
            <w:tcW w:w="4520" w:type="dxa"/>
            <w:noWrap/>
            <w:vAlign w:val="center"/>
          </w:tcPr>
          <w:p w14:paraId="471B1F49">
            <w:pPr>
              <w:widowControl/>
              <w:snapToGrid w:val="0"/>
              <w:spacing w:line="340" w:lineRule="exact"/>
              <w:jc w:val="left"/>
              <w:rPr>
                <w:rFonts w:ascii="Arial" w:hAnsi="Arial" w:cs="Arial"/>
                <w:szCs w:val="21"/>
              </w:rPr>
            </w:pPr>
            <w:r>
              <w:rPr>
                <w:rFonts w:ascii="Arial" w:hAnsi="Arial" w:cs="Arial"/>
                <w:szCs w:val="21"/>
              </w:rPr>
              <w:t>纳税人识别号或统一社会信用代码：</w:t>
            </w:r>
          </w:p>
          <w:p w14:paraId="72373EC4">
            <w:pPr>
              <w:widowControl/>
              <w:snapToGrid w:val="0"/>
              <w:spacing w:line="340" w:lineRule="exact"/>
              <w:jc w:val="left"/>
              <w:rPr>
                <w:rFonts w:ascii="Arial" w:hAnsi="Arial" w:cs="Arial"/>
                <w:szCs w:val="21"/>
              </w:rPr>
            </w:pPr>
          </w:p>
        </w:tc>
      </w:tr>
      <w:tr w14:paraId="5989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4520" w:type="dxa"/>
            <w:noWrap/>
            <w:vAlign w:val="center"/>
          </w:tcPr>
          <w:p w14:paraId="3D480D63">
            <w:pPr>
              <w:widowControl/>
              <w:snapToGrid w:val="0"/>
              <w:spacing w:line="340" w:lineRule="exact"/>
              <w:jc w:val="left"/>
              <w:rPr>
                <w:rFonts w:ascii="Arial" w:hAnsi="Arial" w:cs="Arial"/>
                <w:szCs w:val="21"/>
              </w:rPr>
            </w:pPr>
            <w:r>
              <w:rPr>
                <w:rFonts w:hint="eastAsia" w:ascii="Arial" w:hAnsi="Arial" w:cs="Arial"/>
                <w:szCs w:val="21"/>
              </w:rPr>
              <w:t>经办人：</w:t>
            </w:r>
          </w:p>
        </w:tc>
        <w:tc>
          <w:tcPr>
            <w:tcW w:w="4520" w:type="dxa"/>
            <w:noWrap/>
            <w:vAlign w:val="center"/>
          </w:tcPr>
          <w:p w14:paraId="7D06547A">
            <w:pPr>
              <w:widowControl/>
              <w:snapToGrid w:val="0"/>
              <w:spacing w:line="340" w:lineRule="exact"/>
              <w:jc w:val="left"/>
              <w:rPr>
                <w:rFonts w:ascii="Arial" w:hAnsi="Arial" w:cs="Arial"/>
                <w:szCs w:val="21"/>
              </w:rPr>
            </w:pPr>
            <w:r>
              <w:rPr>
                <w:rFonts w:ascii="Arial" w:hAnsi="Arial" w:cs="Arial"/>
                <w:szCs w:val="21"/>
              </w:rPr>
              <w:t>经办人及手机号码：</w:t>
            </w:r>
          </w:p>
        </w:tc>
      </w:tr>
    </w:tbl>
    <w:p w14:paraId="2A53F3F3"/>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91496">
    <w:pPr>
      <w:pStyle w:val="2"/>
      <w:jc w:val="center"/>
    </w:pPr>
  </w:p>
  <w:p w14:paraId="2BF1EEF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F6C53">
    <w:pPr>
      <w:pStyle w:val="2"/>
      <w:jc w:val="center"/>
    </w:pPr>
    <w:r>
      <w:fldChar w:fldCharType="begin"/>
    </w:r>
    <w:r>
      <w:instrText xml:space="preserve">PAGE   \* MERGEFORMAT</w:instrText>
    </w:r>
    <w:r>
      <w:fldChar w:fldCharType="separate"/>
    </w:r>
    <w:r>
      <w:rPr>
        <w:lang w:val="zh-CN"/>
      </w:rPr>
      <w:t>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20E53"/>
    <w:multiLevelType w:val="multilevel"/>
    <w:tmpl w:val="13320E5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2DD364E"/>
    <w:multiLevelType w:val="multilevel"/>
    <w:tmpl w:val="52DD364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82A557A"/>
    <w:multiLevelType w:val="multilevel"/>
    <w:tmpl w:val="682A557A"/>
    <w:lvl w:ilvl="0" w:tentative="0">
      <w:start w:val="1"/>
      <w:numFmt w:val="decimal"/>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963BB"/>
    <w:rsid w:val="000D27CC"/>
    <w:rsid w:val="00224E09"/>
    <w:rsid w:val="0083528B"/>
    <w:rsid w:val="009D47D1"/>
    <w:rsid w:val="00C223AE"/>
    <w:rsid w:val="00FA7FCB"/>
    <w:rsid w:val="063A584A"/>
    <w:rsid w:val="1F1E4935"/>
    <w:rsid w:val="4A4963BB"/>
    <w:rsid w:val="7A053A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7</Pages>
  <Words>1798</Words>
  <Characters>1856</Characters>
  <Lines>41</Lines>
  <Paragraphs>11</Paragraphs>
  <TotalTime>1</TotalTime>
  <ScaleCrop>false</ScaleCrop>
  <LinksUpToDate>false</LinksUpToDate>
  <CharactersWithSpaces>1871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2025-06-20T02:01:00Z</dcterms:created>
  <dc:creator>文军</dc:creator>
  <cp:lastModifiedBy>XM</cp:lastModifiedBy>
  <dcterms:modified xsi:type="dcterms:W3CDTF">2025-06-22T07:55:17Z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9DD16A9F7AA14ACAB0305C2C96F9F308_13</vt:lpwstr>
  </property>
  <property fmtid="{D5CDD505-2E9C-101B-9397-08002B2CF9AE}" pid="4" name="KSOTemplateDocerSaveRecord">
    <vt:lpwstr>eyJoZGlkIjoiZTcwMzgxNWZjMjZkNWM0ZDI0ZDMzNWIyNmJjNjM3Y2YiLCJ1c2VySWQiOiI0ODkyMzA2NTYifQ==</vt:lpwstr>
  </property>
</Properties>
</file>