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宋体" w:hAnsi="宋体"/>
          <w:b/>
          <w:sz w:val="28"/>
          <w:szCs w:val="28"/>
        </w:rPr>
      </w:pPr>
      <w:r>
        <w:rPr>
          <w:rFonts w:hint="eastAsia" w:ascii="宋体" w:hAnsi="宋体"/>
          <w:b/>
          <w:sz w:val="28"/>
          <w:szCs w:val="28"/>
        </w:rPr>
        <w:t>附件3</w:t>
      </w:r>
    </w:p>
    <w:p>
      <w:pPr>
        <w:spacing w:line="400" w:lineRule="exact"/>
        <w:jc w:val="both"/>
        <w:rPr>
          <w:rFonts w:hint="eastAsia" w:ascii="宋体" w:hAnsi="宋体" w:eastAsia="宋体" w:cs="宋体"/>
          <w:b/>
          <w:bCs/>
          <w:sz w:val="18"/>
          <w:szCs w:val="18"/>
          <w:lang w:val="en-US" w:eastAsia="zh-CN"/>
        </w:rPr>
      </w:pPr>
      <w:r>
        <w:rPr>
          <w:rFonts w:hint="eastAsia" w:ascii="宋体" w:hAnsi="宋体" w:eastAsia="宋体" w:cs="宋体"/>
          <w:b/>
          <w:bCs/>
          <w:sz w:val="18"/>
          <w:szCs w:val="18"/>
          <w:lang w:val="en-US" w:eastAsia="zh-CN"/>
        </w:rPr>
        <w:t>说明：</w:t>
      </w:r>
    </w:p>
    <w:p>
      <w:pPr>
        <w:numPr>
          <w:numId w:val="0"/>
        </w:numPr>
        <w:spacing w:line="400" w:lineRule="exact"/>
        <w:jc w:val="both"/>
        <w:rPr>
          <w:rFonts w:ascii="宋体" w:hAnsi="宋体" w:eastAsia="宋体" w:cs="宋体"/>
          <w:sz w:val="18"/>
          <w:szCs w:val="18"/>
        </w:rPr>
      </w:pPr>
      <w:r>
        <w:rPr>
          <w:rFonts w:hint="eastAsia" w:ascii="宋体" w:hAnsi="宋体" w:eastAsia="宋体" w:cs="宋体"/>
          <w:b/>
          <w:bCs/>
          <w:sz w:val="18"/>
          <w:szCs w:val="18"/>
          <w:lang w:val="en-US" w:eastAsia="zh-CN"/>
        </w:rPr>
        <w:t>1.</w:t>
      </w:r>
      <w:r>
        <w:rPr>
          <w:rFonts w:ascii="宋体" w:hAnsi="宋体" w:eastAsia="宋体" w:cs="宋体"/>
          <w:b/>
          <w:bCs/>
          <w:sz w:val="18"/>
          <w:szCs w:val="18"/>
        </w:rPr>
        <w:t>投标人须根据技术参数及性能配置要求提供一一对应的技术响应偏离表。</w:t>
      </w:r>
      <w:r>
        <w:rPr>
          <w:rFonts w:ascii="宋体" w:hAnsi="宋体" w:eastAsia="宋体" w:cs="宋体"/>
          <w:b/>
          <w:bCs/>
          <w:sz w:val="18"/>
          <w:szCs w:val="18"/>
        </w:rPr>
        <w:br w:type="textWrapping"/>
      </w:r>
      <w:r>
        <w:rPr>
          <w:rFonts w:ascii="宋体" w:hAnsi="宋体" w:eastAsia="宋体" w:cs="宋体"/>
          <w:b/>
          <w:bCs/>
          <w:sz w:val="18"/>
          <w:szCs w:val="18"/>
        </w:rPr>
        <w:t>2.本章中带★号条款为实质性内容要求，投标时必须满足</w:t>
      </w:r>
      <w:r>
        <w:rPr>
          <w:rFonts w:ascii="宋体" w:hAnsi="宋体" w:eastAsia="宋体" w:cs="宋体"/>
          <w:sz w:val="18"/>
          <w:szCs w:val="18"/>
        </w:rPr>
        <w:t>。</w:t>
      </w:r>
    </w:p>
    <w:p>
      <w:pPr>
        <w:numPr>
          <w:numId w:val="0"/>
        </w:numPr>
        <w:spacing w:line="400" w:lineRule="exact"/>
        <w:ind w:firstLine="3654" w:firstLineChars="1300"/>
        <w:jc w:val="both"/>
        <w:rPr>
          <w:rFonts w:hint="eastAsia" w:ascii="宋体" w:hAnsi="宋体"/>
          <w:b/>
          <w:sz w:val="28"/>
          <w:szCs w:val="28"/>
        </w:rPr>
      </w:pPr>
    </w:p>
    <w:p>
      <w:pPr>
        <w:numPr>
          <w:numId w:val="0"/>
        </w:numPr>
        <w:spacing w:line="400" w:lineRule="exact"/>
        <w:ind w:firstLine="3654" w:firstLineChars="1300"/>
        <w:jc w:val="both"/>
        <w:rPr>
          <w:rFonts w:hint="eastAsia" w:ascii="宋体" w:hAnsi="宋体"/>
          <w:b/>
          <w:sz w:val="28"/>
          <w:szCs w:val="28"/>
        </w:rPr>
      </w:pPr>
      <w:bookmarkStart w:id="0" w:name="_GoBack"/>
      <w:bookmarkEnd w:id="0"/>
      <w:r>
        <w:rPr>
          <w:rFonts w:hint="eastAsia" w:ascii="宋体" w:hAnsi="宋体"/>
          <w:b/>
          <w:sz w:val="28"/>
          <w:szCs w:val="28"/>
        </w:rPr>
        <w:t>采购需求</w:t>
      </w:r>
    </w:p>
    <w:p>
      <w:pPr>
        <w:pStyle w:val="2"/>
      </w:pPr>
    </w:p>
    <w:tbl>
      <w:tblPr>
        <w:tblStyle w:val="11"/>
        <w:tblW w:w="920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0"/>
        <w:gridCol w:w="983"/>
        <w:gridCol w:w="948"/>
        <w:gridCol w:w="920"/>
        <w:gridCol w:w="1471"/>
        <w:gridCol w:w="40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
                <w:szCs w:val="21"/>
              </w:rPr>
            </w:pPr>
            <w:r>
              <w:rPr>
                <w:rFonts w:hint="eastAsia" w:ascii="宋体" w:hAnsi="宋体"/>
                <w:b/>
                <w:szCs w:val="21"/>
              </w:rPr>
              <w:t>一、物品参数需求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序号</w:t>
            </w:r>
          </w:p>
        </w:tc>
        <w:tc>
          <w:tcPr>
            <w:tcW w:w="1931"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采购物品名称</w:t>
            </w: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品牌</w:t>
            </w: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数量</w:t>
            </w:r>
          </w:p>
          <w:p>
            <w:pPr>
              <w:spacing w:line="360" w:lineRule="auto"/>
              <w:jc w:val="center"/>
              <w:rPr>
                <w:rFonts w:ascii="宋体" w:hAnsi="宋体"/>
                <w:b/>
                <w:szCs w:val="21"/>
              </w:rPr>
            </w:pPr>
            <w:r>
              <w:rPr>
                <w:rFonts w:hint="eastAsia" w:ascii="宋体" w:hAnsi="宋体"/>
                <w:b/>
                <w:szCs w:val="21"/>
              </w:rPr>
              <w:t>单位</w:t>
            </w:r>
          </w:p>
        </w:tc>
        <w:tc>
          <w:tcPr>
            <w:tcW w:w="405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b/>
                <w:szCs w:val="21"/>
              </w:rPr>
            </w:pPr>
            <w:r>
              <w:rPr>
                <w:rFonts w:hint="eastAsia" w:ascii="宋体" w:hAnsi="宋体"/>
                <w:b/>
                <w:szCs w:val="21"/>
              </w:rPr>
              <w:t>项目要求及物品参数需求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szCs w:val="21"/>
              </w:rPr>
            </w:pPr>
            <w:r>
              <w:rPr>
                <w:rFonts w:hint="eastAsia" w:ascii="宋体" w:hAnsi="宋体"/>
                <w:szCs w:val="21"/>
              </w:rPr>
              <w:t>1</w:t>
            </w:r>
          </w:p>
        </w:tc>
        <w:tc>
          <w:tcPr>
            <w:tcW w:w="19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校园卡</w:t>
            </w: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eastAsiaTheme="minorEastAsia"/>
                <w:kern w:val="0"/>
                <w:szCs w:val="21"/>
                <w:lang w:eastAsia="zh-CN"/>
              </w:rPr>
            </w:pPr>
            <w:r>
              <w:rPr>
                <w:rFonts w:hint="eastAsia" w:ascii="宋体" w:hAnsi="宋体" w:cs="宋体"/>
                <w:kern w:val="0"/>
                <w:szCs w:val="21"/>
                <w:lang w:eastAsia="zh-CN"/>
              </w:rPr>
              <w:t>定制</w:t>
            </w: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eastAsiaTheme="minorEastAsia"/>
                <w:kern w:val="0"/>
                <w:szCs w:val="21"/>
                <w:lang w:eastAsia="zh-CN"/>
              </w:rPr>
            </w:pPr>
            <w:r>
              <w:rPr>
                <w:rFonts w:hint="eastAsia" w:ascii="宋体" w:hAnsi="宋体" w:cs="宋体"/>
                <w:kern w:val="0"/>
                <w:szCs w:val="21"/>
                <w:lang w:val="en-US" w:eastAsia="zh-CN"/>
              </w:rPr>
              <w:t>9550</w:t>
            </w:r>
            <w:r>
              <w:rPr>
                <w:rFonts w:hint="eastAsia" w:ascii="宋体" w:hAnsi="宋体" w:cs="宋体"/>
                <w:kern w:val="0"/>
                <w:szCs w:val="21"/>
                <w:lang w:eastAsia="zh-CN"/>
              </w:rPr>
              <w:t>张</w:t>
            </w:r>
          </w:p>
        </w:tc>
        <w:tc>
          <w:tcPr>
            <w:tcW w:w="405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1.芯片采用微电子 13.56Mhz CPU 芯片；</w:t>
            </w:r>
          </w:p>
          <w:p>
            <w:pPr>
              <w:widowControl/>
              <w:jc w:val="left"/>
              <w:textAlignment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2.芯片容量16K EEPROM。其中 1 个模拟标准 Mirfare on（1K）；</w:t>
            </w:r>
          </w:p>
          <w:p>
            <w:pPr>
              <w:widowControl/>
              <w:jc w:val="left"/>
              <w:textAlignment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3.外形符合 ISO 标准卡尺寸 85.60×54.00×1.00±0.02mm；</w:t>
            </w:r>
          </w:p>
          <w:p>
            <w:pPr>
              <w:widowControl/>
              <w:jc w:val="left"/>
              <w:textAlignment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4.封装材料为 PVC；</w:t>
            </w:r>
          </w:p>
          <w:p>
            <w:pPr>
              <w:widowControl/>
              <w:jc w:val="left"/>
              <w:textAlignment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5.卡片技术要求、应用技术要求、密钥系统、安全认证技术等要求符合《中国金融集成电路 IC 卡规范》 V2.0 ED/EP；</w:t>
            </w:r>
          </w:p>
          <w:p>
            <w:pPr>
              <w:widowControl/>
              <w:jc w:val="left"/>
              <w:textAlignment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6.具有防冲突机制；</w:t>
            </w:r>
          </w:p>
          <w:p>
            <w:pPr>
              <w:widowControl/>
              <w:jc w:val="left"/>
              <w:textAlignment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7.每张卡有唯一序列号，为 32 位；</w:t>
            </w:r>
          </w:p>
          <w:p>
            <w:pPr>
              <w:widowControl/>
              <w:jc w:val="left"/>
              <w:textAlignment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8、支持多卡操作无电源，自带天线；</w:t>
            </w:r>
          </w:p>
          <w:p>
            <w:pPr>
              <w:widowControl/>
              <w:jc w:val="left"/>
              <w:textAlignment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9、内含加密控制逻辑和通讯逻辑电路；</w:t>
            </w:r>
          </w:p>
          <w:p>
            <w:pPr>
              <w:widowControl/>
              <w:jc w:val="left"/>
              <w:textAlignment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10、数据保存期：〉15 年；</w:t>
            </w:r>
          </w:p>
          <w:p>
            <w:pPr>
              <w:widowControl/>
              <w:jc w:val="left"/>
              <w:textAlignment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11、存储区可达 15 万次以上重复擦写；</w:t>
            </w:r>
          </w:p>
          <w:p>
            <w:pPr>
              <w:widowControl/>
              <w:jc w:val="left"/>
              <w:textAlignment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12、每个扇区有独立的一组密码及访问控制；</w:t>
            </w:r>
          </w:p>
          <w:p>
            <w:pP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13、卡片与读写卡器的有效感应距离5-8cm；</w:t>
            </w:r>
          </w:p>
          <w:p>
            <w:pPr>
              <w:widowControl/>
              <w:jc w:val="left"/>
              <w:textAlignment w:val="center"/>
              <w:rPr>
                <w:rFonts w:asciiTheme="minorEastAsia" w:hAnsiTheme="minorEastAsia" w:cstheme="minorEastAsia"/>
                <w:color w:val="000000" w:themeColor="text1"/>
                <w:kern w:val="0"/>
                <w:sz w:val="18"/>
                <w:szCs w:val="18"/>
                <w14:textFill>
                  <w14:solidFill>
                    <w14:schemeClr w14:val="tx1"/>
                  </w14:solidFill>
                </w14:textFill>
              </w:rPr>
            </w:pPr>
            <w:r>
              <w:rPr>
                <w:rFonts w:hint="eastAsia" w:asciiTheme="minorEastAsia" w:hAnsiTheme="minorEastAsia" w:cstheme="minorEastAsia"/>
                <w:color w:val="000000" w:themeColor="text1"/>
                <w:kern w:val="0"/>
                <w:sz w:val="18"/>
                <w:szCs w:val="18"/>
                <w14:textFill>
                  <w14:solidFill>
                    <w14:schemeClr w14:val="tx1"/>
                  </w14:solidFill>
                </w14:textFill>
              </w:rPr>
              <w:t>★14、须与采购人现有一卡通系统（型号：新中新V</w:t>
            </w:r>
            <w:r>
              <w:rPr>
                <w:rFonts w:asciiTheme="minorEastAsia" w:hAnsiTheme="minorEastAsia" w:cstheme="minorEastAsia"/>
                <w:color w:val="000000" w:themeColor="text1"/>
                <w:kern w:val="0"/>
                <w:sz w:val="18"/>
                <w:szCs w:val="18"/>
                <w14:textFill>
                  <w14:solidFill>
                    <w14:schemeClr w14:val="tx1"/>
                  </w14:solidFill>
                </w14:textFill>
              </w:rPr>
              <w:t>4</w:t>
            </w:r>
            <w:r>
              <w:rPr>
                <w:rFonts w:hint="eastAsia" w:asciiTheme="minorEastAsia" w:hAnsiTheme="minorEastAsia" w:cstheme="minorEastAsia"/>
                <w:color w:val="000000" w:themeColor="text1"/>
                <w:kern w:val="0"/>
                <w:sz w:val="18"/>
                <w:szCs w:val="18"/>
                <w14:textFill>
                  <w14:solidFill>
                    <w14:schemeClr w14:val="tx1"/>
                  </w14:solidFill>
                </w14:textFill>
              </w:rPr>
              <w:t>.0）完全兼容并保证数据加密安全，竞标文件中提供现有一卡通系统厂家（北京新中新诚通信息技术股份有限公司）或国家第三方认证机构出具的兼容性证明材料。</w:t>
            </w:r>
          </w:p>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r>
              <w:rPr>
                <w:rFonts w:hint="eastAsia" w:asciiTheme="minorEastAsia" w:hAnsiTheme="minorEastAsia" w:cstheme="minorEastAsia"/>
                <w:color w:val="000000" w:themeColor="text1"/>
                <w:kern w:val="0"/>
                <w:sz w:val="18"/>
                <w:szCs w:val="18"/>
                <w14:textFill>
                  <w14:solidFill>
                    <w14:schemeClr w14:val="tx1"/>
                  </w14:solidFill>
                </w14:textFill>
              </w:rPr>
              <w:t>★</w:t>
            </w:r>
            <w:r>
              <w:rPr>
                <w:rFonts w:asciiTheme="minorEastAsia" w:hAnsiTheme="minorEastAsia" w:cstheme="minorEastAsia"/>
                <w:color w:val="000000" w:themeColor="text1"/>
                <w:kern w:val="0"/>
                <w:sz w:val="18"/>
                <w:szCs w:val="18"/>
                <w14:textFill>
                  <w14:solidFill>
                    <w14:schemeClr w14:val="tx1"/>
                  </w14:solidFill>
                </w14:textFill>
              </w:rPr>
              <w:t>15</w:t>
            </w:r>
            <w:r>
              <w:rPr>
                <w:rFonts w:hint="eastAsia" w:asciiTheme="minorEastAsia" w:hAnsiTheme="minorEastAsia" w:cstheme="minorEastAsia"/>
                <w:color w:val="000000" w:themeColor="text1"/>
                <w:kern w:val="0"/>
                <w:sz w:val="18"/>
                <w:szCs w:val="18"/>
                <w14:textFill>
                  <w14:solidFill>
                    <w14:schemeClr w14:val="tx1"/>
                  </w14:solidFill>
                </w14:textFill>
              </w:rPr>
              <w:t>.本次采购的cpu卡参数要与现有校园卡系统发卡读卡器兼容，不得设置任何私有密钥区域，经本校测试合格后，方可参与采购；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Theme="minorEastAsia"/>
                <w:szCs w:val="21"/>
                <w:lang w:val="en-US" w:eastAsia="zh-CN"/>
              </w:rPr>
            </w:pPr>
            <w:r>
              <w:rPr>
                <w:rFonts w:hint="eastAsia" w:ascii="宋体" w:hAnsi="宋体"/>
                <w:szCs w:val="21"/>
                <w:lang w:val="en-US" w:eastAsia="zh-CN"/>
              </w:rPr>
              <w:t>2</w:t>
            </w:r>
          </w:p>
        </w:tc>
        <w:tc>
          <w:tcPr>
            <w:tcW w:w="19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themeColor="text1"/>
                <w:kern w:val="0"/>
                <w:szCs w:val="21"/>
                <w:lang w:val="en-US" w:eastAsia="zh-CN"/>
                <w14:textFill>
                  <w14:solidFill>
                    <w14:schemeClr w14:val="tx1"/>
                  </w14:solidFill>
                </w14:textFill>
              </w:rPr>
            </w:pP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Cs w:val="21"/>
                <w:lang w:eastAsia="zh-CN"/>
              </w:rPr>
            </w:pPr>
          </w:p>
        </w:tc>
        <w:tc>
          <w:tcPr>
            <w:tcW w:w="40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szCs w:val="21"/>
                <w:lang w:val="en-US" w:eastAsia="zh-CN"/>
              </w:rPr>
            </w:pPr>
            <w:r>
              <w:rPr>
                <w:rFonts w:hint="eastAsia" w:ascii="宋体" w:hAnsi="宋体"/>
                <w:szCs w:val="21"/>
                <w:lang w:val="en-US" w:eastAsia="zh-CN"/>
              </w:rPr>
              <w:t>3</w:t>
            </w:r>
          </w:p>
        </w:tc>
        <w:tc>
          <w:tcPr>
            <w:tcW w:w="19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themeColor="text1"/>
                <w:kern w:val="0"/>
                <w:szCs w:val="21"/>
                <w:lang w:val="en-US" w:eastAsia="zh-CN"/>
                <w14:textFill>
                  <w14:solidFill>
                    <w14:schemeClr w14:val="tx1"/>
                  </w14:solidFill>
                </w14:textFill>
              </w:rPr>
            </w:pP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Cs w:val="21"/>
              </w:rPr>
            </w:pP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Cs w:val="21"/>
                <w:lang w:eastAsia="zh-CN"/>
              </w:rPr>
            </w:pPr>
          </w:p>
        </w:tc>
        <w:tc>
          <w:tcPr>
            <w:tcW w:w="40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ascii="宋体" w:hAnsi="宋体" w:cs="宋体"/>
                <w:kern w:val="0"/>
                <w:sz w:val="16"/>
                <w:szCs w:val="1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szCs w:val="21"/>
                <w:lang w:val="en-US" w:eastAsia="zh-CN"/>
              </w:rPr>
            </w:pPr>
            <w:r>
              <w:rPr>
                <w:rFonts w:hint="eastAsia" w:ascii="宋体" w:hAnsi="宋体"/>
                <w:szCs w:val="21"/>
                <w:lang w:val="en-US" w:eastAsia="zh-CN"/>
              </w:rPr>
              <w:t>4</w:t>
            </w:r>
          </w:p>
        </w:tc>
        <w:tc>
          <w:tcPr>
            <w:tcW w:w="19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kern w:val="0"/>
                <w:sz w:val="21"/>
                <w:szCs w:val="21"/>
                <w:lang w:bidi="ar"/>
              </w:rPr>
            </w:pP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kern w:val="0"/>
                <w:sz w:val="21"/>
                <w:szCs w:val="21"/>
                <w:lang w:eastAsia="zh-CN" w:bidi="ar"/>
              </w:rPr>
            </w:pP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Cs w:val="21"/>
                <w:lang w:eastAsia="zh-CN"/>
              </w:rPr>
            </w:pPr>
          </w:p>
        </w:tc>
        <w:tc>
          <w:tcPr>
            <w:tcW w:w="405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val="0"/>
              <w:autoSpaceDN w:val="0"/>
              <w:bidi w:val="0"/>
              <w:adjustRightInd w:val="0"/>
              <w:snapToGrid/>
              <w:spacing w:line="240" w:lineRule="atLeast"/>
              <w:jc w:val="left"/>
              <w:textAlignment w:val="auto"/>
              <w:rPr>
                <w:rFonts w:hint="eastAsia" w:ascii="宋体" w:hAnsi="宋体" w:eastAsia="宋体" w:cs="宋体"/>
                <w:color w:val="000000"/>
                <w:kern w:val="0"/>
                <w:sz w:val="21"/>
                <w:szCs w:val="21"/>
                <w:lang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3" w:hRule="atLeast"/>
          <w:jc w:val="center"/>
        </w:trPr>
        <w:tc>
          <w:tcPr>
            <w:tcW w:w="8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szCs w:val="21"/>
                <w:lang w:val="en-US" w:eastAsia="zh-CN"/>
              </w:rPr>
            </w:pPr>
            <w:r>
              <w:rPr>
                <w:rFonts w:hint="eastAsia" w:ascii="宋体" w:hAnsi="宋体"/>
                <w:szCs w:val="21"/>
                <w:lang w:val="en-US" w:eastAsia="zh-CN"/>
              </w:rPr>
              <w:t>5</w:t>
            </w:r>
          </w:p>
        </w:tc>
        <w:tc>
          <w:tcPr>
            <w:tcW w:w="1931"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宋体"/>
                <w:color w:val="000000"/>
                <w:kern w:val="0"/>
                <w:sz w:val="21"/>
                <w:szCs w:val="21"/>
                <w:lang w:bidi="ar"/>
              </w:rPr>
            </w:pPr>
          </w:p>
        </w:tc>
        <w:tc>
          <w:tcPr>
            <w:tcW w:w="9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color w:val="000000"/>
                <w:kern w:val="0"/>
                <w:sz w:val="21"/>
                <w:szCs w:val="21"/>
                <w:lang w:bidi="ar"/>
              </w:rPr>
            </w:pPr>
          </w:p>
        </w:tc>
        <w:tc>
          <w:tcPr>
            <w:tcW w:w="147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cs="宋体"/>
                <w:kern w:val="0"/>
                <w:szCs w:val="21"/>
                <w:lang w:eastAsia="zh-CN"/>
              </w:rPr>
            </w:pPr>
          </w:p>
        </w:tc>
        <w:tc>
          <w:tcPr>
            <w:tcW w:w="4057" w:type="dxa"/>
            <w:tcBorders>
              <w:top w:val="single" w:color="auto" w:sz="4" w:space="0"/>
              <w:left w:val="single" w:color="auto" w:sz="4" w:space="0"/>
              <w:bottom w:val="single" w:color="auto" w:sz="4" w:space="0"/>
              <w:right w:val="single" w:color="auto" w:sz="4" w:space="0"/>
            </w:tcBorders>
            <w:vAlign w:val="center"/>
          </w:tcPr>
          <w:p>
            <w:pPr>
              <w:widowControl/>
              <w:rPr>
                <w:rFonts w:hint="eastAsia" w:ascii="宋体" w:hAnsi="宋体" w:eastAsia="宋体" w:cs="宋体"/>
                <w:color w:val="auto"/>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cs="宋体"/>
                <w:kern w:val="0"/>
                <w:szCs w:val="21"/>
              </w:rPr>
            </w:pPr>
            <w:r>
              <w:rPr>
                <w:rFonts w:hint="eastAsia" w:ascii="宋体" w:hAnsi="宋体" w:cs="宋体"/>
                <w:kern w:val="0"/>
                <w:szCs w:val="21"/>
              </w:rPr>
              <w:t>二、商务需求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szCs w:val="21"/>
              </w:rPr>
              <w:t>服务期限及地点</w:t>
            </w:r>
          </w:p>
        </w:tc>
        <w:tc>
          <w:tcPr>
            <w:tcW w:w="739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hint="eastAsia" w:ascii="宋体" w:hAnsi="宋体" w:cs="宋体" w:eastAsiaTheme="minorEastAsia"/>
                <w:kern w:val="0"/>
                <w:szCs w:val="21"/>
                <w:lang w:eastAsia="zh-CN"/>
              </w:rPr>
            </w:pPr>
            <w:r>
              <w:rPr>
                <w:rFonts w:hint="eastAsia" w:asciiTheme="minorEastAsia" w:hAnsiTheme="minorEastAsia"/>
                <w:color w:val="000000" w:themeColor="text1"/>
                <w:szCs w:val="21"/>
                <w:lang w:eastAsia="zh-CN"/>
                <w14:textFill>
                  <w14:solidFill>
                    <w14:schemeClr w14:val="tx1"/>
                  </w14:solidFill>
                </w14:textFill>
              </w:rPr>
              <w:t>质保期：</w:t>
            </w:r>
            <w:r>
              <w:rPr>
                <w:rFonts w:hint="eastAsia" w:asciiTheme="minorEastAsia" w:hAnsiTheme="minorEastAsia"/>
                <w:color w:val="000000" w:themeColor="text1"/>
                <w:szCs w:val="21"/>
                <w14:textFill>
                  <w14:solidFill>
                    <w14:schemeClr w14:val="tx1"/>
                  </w14:solidFill>
                </w14:textFill>
              </w:rPr>
              <w:t>自货物最终验收合格之日起计算，</w:t>
            </w:r>
            <w:r>
              <w:rPr>
                <w:rFonts w:hint="eastAsia" w:asciiTheme="minorEastAsia" w:hAnsiTheme="minorEastAsia"/>
                <w:color w:val="000000" w:themeColor="text1"/>
                <w:szCs w:val="21"/>
                <w:lang w:val="en-US" w:eastAsia="zh-CN"/>
                <w14:textFill>
                  <w14:solidFill>
                    <w14:schemeClr w14:val="tx1"/>
                  </w14:solidFill>
                </w14:textFill>
              </w:rPr>
              <w:t>提供</w:t>
            </w:r>
            <w:r>
              <w:rPr>
                <w:rFonts w:hint="eastAsia" w:asciiTheme="minorEastAsia" w:hAnsiTheme="minorEastAsia"/>
                <w:color w:val="000000" w:themeColor="text1"/>
                <w:szCs w:val="21"/>
                <w14:textFill>
                  <w14:solidFill>
                    <w14:schemeClr w14:val="tx1"/>
                  </w14:solidFill>
                </w14:textFill>
              </w:rPr>
              <w:t>1年</w:t>
            </w:r>
            <w:r>
              <w:rPr>
                <w:rFonts w:hint="eastAsia" w:asciiTheme="minorEastAsia" w:hAnsiTheme="minorEastAsia"/>
                <w:color w:val="000000" w:themeColor="text1"/>
                <w:szCs w:val="21"/>
                <w:lang w:val="en-US" w:eastAsia="zh-CN"/>
                <w14:textFill>
                  <w14:solidFill>
                    <w14:schemeClr w14:val="tx1"/>
                  </w14:solidFill>
                </w14:textFill>
              </w:rPr>
              <w:t>质保期</w:t>
            </w:r>
            <w:r>
              <w:rPr>
                <w:rFonts w:hint="eastAsia" w:asciiTheme="minorEastAsia" w:hAnsiTheme="minorEastAsia"/>
                <w:color w:val="000000" w:themeColor="text1"/>
                <w:szCs w:val="21"/>
                <w14:textFill>
                  <w14:solidFill>
                    <w14:schemeClr w14:val="tx1"/>
                  </w14:solidFill>
                </w14:textFill>
              </w:rPr>
              <w:t>，质保期免费更换</w:t>
            </w:r>
            <w:r>
              <w:rPr>
                <w:rFonts w:hint="eastAsia" w:asciiTheme="minorEastAsia" w:hAnsiTheme="minorEastAsia"/>
                <w:color w:val="000000" w:themeColor="text1"/>
                <w:szCs w:val="21"/>
                <w:lang w:val="en-US" w:eastAsia="zh-CN"/>
                <w14:textFill>
                  <w14:solidFill>
                    <w14:schemeClr w14:val="tx1"/>
                  </w14:solidFill>
                </w14:textFill>
              </w:rPr>
              <w:t>故障卡片</w:t>
            </w:r>
            <w:r>
              <w:rPr>
                <w:rFonts w:hint="eastAsia" w:asciiTheme="minorEastAsia" w:hAnsiTheme="minorEastAsia"/>
                <w:color w:val="000000" w:themeColor="text1"/>
                <w:szCs w:val="21"/>
                <w14:textFill>
                  <w14:solidFill>
                    <w14:schemeClr w14:val="tx1"/>
                  </w14:solidFill>
                </w14:textFill>
              </w:rPr>
              <w:t>。</w:t>
            </w:r>
            <w:r>
              <w:rPr>
                <w:rFonts w:hint="eastAsia" w:asciiTheme="minorEastAsia" w:hAnsiTheme="minorEastAsia"/>
                <w:color w:val="000000" w:themeColor="text1"/>
                <w:szCs w:val="21"/>
                <w:lang w:eastAsia="zh-CN"/>
                <w14:textFill>
                  <w14:solidFill>
                    <w14:schemeClr w14:val="tx1"/>
                  </w14:solidFill>
                </w14:textFill>
              </w:rPr>
              <w:t>服务地点：校园卡结算中心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cs="宋体"/>
                <w:kern w:val="0"/>
                <w:szCs w:val="21"/>
                <w:highlight w:val="none"/>
              </w:rPr>
              <w:t>付款</w:t>
            </w:r>
            <w:r>
              <w:rPr>
                <w:rFonts w:hint="eastAsia" w:ascii="宋体" w:hAnsi="宋体"/>
                <w:szCs w:val="21"/>
                <w:highlight w:val="none"/>
              </w:rPr>
              <w:t>条件</w:t>
            </w:r>
          </w:p>
        </w:tc>
        <w:tc>
          <w:tcPr>
            <w:tcW w:w="7396"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asciiTheme="minorEastAsia" w:hAnsiTheme="minorEastAsia"/>
                <w:color w:val="000000" w:themeColor="text1"/>
                <w:szCs w:val="21"/>
                <w14:textFill>
                  <w14:solidFill>
                    <w14:schemeClr w14:val="tx1"/>
                  </w14:solidFill>
                </w14:textFill>
              </w:rPr>
              <w:t>一次性支付：本采购文件项下全部货物经最终验收合格后 15 个工作日内，采购人凭成交供应商开具的全额增值税普通发票向成交供应商支付全部合同价款。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209" w:type="dxa"/>
            <w:gridSpan w:val="6"/>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宋体"/>
                <w:kern w:val="0"/>
                <w:szCs w:val="21"/>
              </w:rPr>
            </w:pPr>
            <w:r>
              <w:rPr>
                <w:rFonts w:hint="eastAsia" w:ascii="宋体" w:hAnsi="宋体" w:cs="TimesNewRomanPSMT"/>
                <w:b/>
                <w:kern w:val="0"/>
                <w:szCs w:val="21"/>
              </w:rPr>
              <w:t>三、</w:t>
            </w:r>
            <w:r>
              <w:rPr>
                <w:rFonts w:hint="eastAsia" w:ascii="宋体" w:hAnsi="宋体" w:cs="TimesNewRomanPSMT"/>
                <w:b/>
                <w:kern w:val="0"/>
                <w:szCs w:val="21"/>
                <w:highlight w:val="none"/>
              </w:rPr>
              <w:t>其他要求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3" w:hRule="atLeast"/>
          <w:jc w:val="center"/>
        </w:trPr>
        <w:tc>
          <w:tcPr>
            <w:tcW w:w="1813"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cs="TimesNewRomanPSMT"/>
                <w:kern w:val="0"/>
                <w:szCs w:val="21"/>
              </w:rPr>
            </w:pPr>
          </w:p>
        </w:tc>
        <w:tc>
          <w:tcPr>
            <w:tcW w:w="7396" w:type="dxa"/>
            <w:gridSpan w:val="4"/>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1、本采购文件项下的货物在交货、验收及质保期等任何阶段内不符合合同约定的技术规范要求和验收标准的，采购人有权向成交供应商索赔并选择下列一项或多项补救措施：</w:t>
            </w:r>
          </w:p>
          <w:p>
            <w:pPr>
              <w:rPr>
                <w:rFonts w:hint="eastAsia"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（1）由成交供应商采取措施消除设备缺陷或不符合合同之处，如果成交供应商不能及时消除缺陷，采购人有权自行消除缺陷或不符合合同之处，由此产生的一切费用均由成交供应商承担。</w:t>
            </w:r>
          </w:p>
          <w:p>
            <w:pPr>
              <w:rPr>
                <w:rFonts w:hint="eastAsia"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（2）由成交供应商在接到采购人通知后 10 日内用符合合同规定的规格、质量和性能要求的新零件、部件和设备更换有缺陷的设备或用新的技术资料替换有错误的技术资料或补供遗漏的设备或技术资料等，成交供应商应承担一切费用和风险并负担给采购人造成的全部损失。</w:t>
            </w:r>
          </w:p>
          <w:p>
            <w:pPr>
              <w:rPr>
                <w:rFonts w:hint="eastAsia"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（3）根据货物的低劣程度、损坏程度以及采购人所遭受损失的数额，成交供应商必须降低货物的价格。</w:t>
            </w:r>
          </w:p>
          <w:p>
            <w:pPr>
              <w:rPr>
                <w:rFonts w:hint="eastAsia"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（4）退货，成交供应商应退还采购人支付的全部合同款，同时应承担该货物的直接费用（运输、保险、检验、货款利息及银行手续费等）。</w:t>
            </w:r>
          </w:p>
          <w:p>
            <w:pPr>
              <w:rPr>
                <w:rFonts w:hint="eastAsia"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2、成交供应商逾期交付货物的，每逾期一日，应按逾期交货总额 3 ‰向采购人支付违约金。逾期超过约定日期 17 个工作日不能交货的，采购人有权解除本合同，并要求成交供应商支付合同总额 20 %的违约金。</w:t>
            </w:r>
          </w:p>
          <w:p>
            <w:pPr>
              <w:rPr>
                <w:rFonts w:hint="eastAsia" w:asciiTheme="minorEastAsia" w:hAnsiTheme="minorEastAsia"/>
                <w:color w:val="000000" w:themeColor="text1"/>
                <w:sz w:val="18"/>
                <w:szCs w:val="18"/>
                <w14:textFill>
                  <w14:solidFill>
                    <w14:schemeClr w14:val="tx1"/>
                  </w14:solidFill>
                </w14:textFill>
              </w:rPr>
            </w:pPr>
            <w:r>
              <w:rPr>
                <w:rFonts w:hint="eastAsia" w:asciiTheme="minorEastAsia" w:hAnsiTheme="minorEastAsia"/>
                <w:color w:val="000000" w:themeColor="text1"/>
                <w:sz w:val="18"/>
                <w:szCs w:val="18"/>
                <w14:textFill>
                  <w14:solidFill>
                    <w14:schemeClr w14:val="tx1"/>
                  </w14:solidFill>
                </w14:textFill>
              </w:rPr>
              <w:t>3、成交供应商所交付的货物品种、型号、规格、技术参数、质量不符合合同规定及反向竞价文件规定标准的，采购人有权拒收该货物，成交供应商愿意更换货物但逾期交货的，按成交供应商逾期交货处理。成交供应商拒绝更换货物的，采购人可单方面解除合同，并要求成交供应商支付合同总值 20 %的违约金，违约金不足以弥补采购人损失的，成交供应商还应负责赔偿。</w:t>
            </w:r>
          </w:p>
          <w:p>
            <w:pPr>
              <w:rPr>
                <w:rFonts w:hint="eastAsia"/>
                <w:sz w:val="18"/>
                <w:szCs w:val="18"/>
                <w:lang w:val="en-US" w:eastAsia="zh-CN"/>
              </w:rPr>
            </w:pPr>
            <w:r>
              <w:rPr>
                <w:rFonts w:hint="eastAsia" w:asciiTheme="minorEastAsia" w:hAnsiTheme="minorEastAsia"/>
                <w:color w:val="000000" w:themeColor="text1"/>
                <w:sz w:val="18"/>
                <w:szCs w:val="18"/>
                <w14:textFill>
                  <w14:solidFill>
                    <w14:schemeClr w14:val="tx1"/>
                  </w14:solidFill>
                </w14:textFill>
              </w:rPr>
              <w:t>4、成交供应商未能按约定要求履行保修义务的，每发生一次应向采购人支付合同金额的5%违约金，同时，采购人有权委托第三方进行保修，所产生的费用由成交供应商承担。若因货物缺陷或成交供应商服务质量等问题造成采购人或任何人员人身、财产损害的，成交供应商应承担有关责任并作出相应赔偿。</w:t>
            </w:r>
          </w:p>
        </w:tc>
      </w:tr>
    </w:tbl>
    <w:p>
      <w:pPr>
        <w:pStyle w:val="9"/>
        <w:widowControl/>
        <w:spacing w:after="452" w:line="555" w:lineRule="atLeast"/>
        <w:rPr>
          <w:rStyle w:val="14"/>
          <w:rFonts w:ascii="黑体" w:hAnsi="宋体" w:eastAsia="黑体" w:cs="黑体"/>
          <w:color w:val="333333"/>
          <w:sz w:val="28"/>
          <w:szCs w:val="28"/>
          <w:shd w:val="clear" w:color="auto" w:fill="FFFFFF"/>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imesNewRomanPSMT">
    <w:altName w:val="Times New Roman"/>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4099594"/>
    </w:sdtPr>
    <w:sdtContent>
      <w:sdt>
        <w:sdtPr>
          <w:id w:val="171357217"/>
        </w:sdtPr>
        <w:sdtContent>
          <w:p>
            <w:pPr>
              <w:pStyle w:val="7"/>
              <w:jc w:val="center"/>
            </w:pPr>
            <w:r>
              <w:rPr>
                <w:b/>
                <w:sz w:val="24"/>
                <w:szCs w:val="24"/>
              </w:rPr>
              <w:fldChar w:fldCharType="begin"/>
            </w:r>
            <w:r>
              <w:rPr>
                <w:b/>
              </w:rPr>
              <w:instrText xml:space="preserve">PAGE</w:instrText>
            </w:r>
            <w:r>
              <w:rPr>
                <w:b/>
                <w:sz w:val="24"/>
                <w:szCs w:val="24"/>
              </w:rPr>
              <w:fldChar w:fldCharType="separate"/>
            </w:r>
            <w:r>
              <w:rPr>
                <w:b/>
              </w:rPr>
              <w:t>2</w:t>
            </w:r>
            <w:r>
              <w:rPr>
                <w:b/>
                <w:sz w:val="24"/>
                <w:szCs w:val="24"/>
              </w:rPr>
              <w:fldChar w:fldCharType="end"/>
            </w:r>
          </w:p>
        </w:sdtContent>
      </w:sdt>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ODEzZjEyZjcyZjA1Nzk5NGQxZDZiMzQwNzZhYjUifQ=="/>
  </w:docVars>
  <w:rsids>
    <w:rsidRoot w:val="52D653D6"/>
    <w:rsid w:val="00002994"/>
    <w:rsid w:val="000102D3"/>
    <w:rsid w:val="0001736C"/>
    <w:rsid w:val="00021BD6"/>
    <w:rsid w:val="000408C1"/>
    <w:rsid w:val="00047C0E"/>
    <w:rsid w:val="00056B5E"/>
    <w:rsid w:val="000808B9"/>
    <w:rsid w:val="00082409"/>
    <w:rsid w:val="00082EF6"/>
    <w:rsid w:val="00087E6F"/>
    <w:rsid w:val="00092BBF"/>
    <w:rsid w:val="000953D5"/>
    <w:rsid w:val="000A3D19"/>
    <w:rsid w:val="000A5D39"/>
    <w:rsid w:val="000C4E31"/>
    <w:rsid w:val="000E64E3"/>
    <w:rsid w:val="0010348A"/>
    <w:rsid w:val="00110A81"/>
    <w:rsid w:val="00127AFC"/>
    <w:rsid w:val="00133620"/>
    <w:rsid w:val="00150216"/>
    <w:rsid w:val="00156346"/>
    <w:rsid w:val="0017414C"/>
    <w:rsid w:val="001B37D8"/>
    <w:rsid w:val="001C0A0B"/>
    <w:rsid w:val="001C5E3E"/>
    <w:rsid w:val="001D0CC4"/>
    <w:rsid w:val="001D3CF7"/>
    <w:rsid w:val="001D40D9"/>
    <w:rsid w:val="001F1305"/>
    <w:rsid w:val="00204020"/>
    <w:rsid w:val="002310AC"/>
    <w:rsid w:val="00232C58"/>
    <w:rsid w:val="00253977"/>
    <w:rsid w:val="002562E1"/>
    <w:rsid w:val="00266758"/>
    <w:rsid w:val="0027639E"/>
    <w:rsid w:val="002A648D"/>
    <w:rsid w:val="002C48D1"/>
    <w:rsid w:val="00312577"/>
    <w:rsid w:val="00351A5E"/>
    <w:rsid w:val="003D1DCB"/>
    <w:rsid w:val="003D7CA4"/>
    <w:rsid w:val="00401437"/>
    <w:rsid w:val="004071AF"/>
    <w:rsid w:val="0040787D"/>
    <w:rsid w:val="004167FA"/>
    <w:rsid w:val="00431E0E"/>
    <w:rsid w:val="00435453"/>
    <w:rsid w:val="00474A3B"/>
    <w:rsid w:val="0048288D"/>
    <w:rsid w:val="0048565F"/>
    <w:rsid w:val="004D446A"/>
    <w:rsid w:val="004D6593"/>
    <w:rsid w:val="004E3B7E"/>
    <w:rsid w:val="004E5F3B"/>
    <w:rsid w:val="005166BE"/>
    <w:rsid w:val="0052249A"/>
    <w:rsid w:val="00547DDF"/>
    <w:rsid w:val="0055287B"/>
    <w:rsid w:val="005650B2"/>
    <w:rsid w:val="005C6D2A"/>
    <w:rsid w:val="005E1921"/>
    <w:rsid w:val="005E4818"/>
    <w:rsid w:val="005E4C14"/>
    <w:rsid w:val="005E4ECB"/>
    <w:rsid w:val="00603052"/>
    <w:rsid w:val="006128DF"/>
    <w:rsid w:val="00624C0D"/>
    <w:rsid w:val="00651D11"/>
    <w:rsid w:val="00660F53"/>
    <w:rsid w:val="00681F69"/>
    <w:rsid w:val="006A4493"/>
    <w:rsid w:val="006C62A8"/>
    <w:rsid w:val="006D028E"/>
    <w:rsid w:val="006D1F21"/>
    <w:rsid w:val="006E0179"/>
    <w:rsid w:val="006E297E"/>
    <w:rsid w:val="006E3CF1"/>
    <w:rsid w:val="006E6C19"/>
    <w:rsid w:val="00710C8F"/>
    <w:rsid w:val="007270EA"/>
    <w:rsid w:val="00733E15"/>
    <w:rsid w:val="0075181E"/>
    <w:rsid w:val="007828C7"/>
    <w:rsid w:val="007942C7"/>
    <w:rsid w:val="007A4C72"/>
    <w:rsid w:val="007B21E3"/>
    <w:rsid w:val="007B4626"/>
    <w:rsid w:val="007C5205"/>
    <w:rsid w:val="00801CC6"/>
    <w:rsid w:val="0080519D"/>
    <w:rsid w:val="00830BFD"/>
    <w:rsid w:val="00835CD1"/>
    <w:rsid w:val="00853064"/>
    <w:rsid w:val="00857045"/>
    <w:rsid w:val="00871030"/>
    <w:rsid w:val="008B090F"/>
    <w:rsid w:val="008D14DD"/>
    <w:rsid w:val="008D28D6"/>
    <w:rsid w:val="008E356A"/>
    <w:rsid w:val="008E6872"/>
    <w:rsid w:val="008F2BB9"/>
    <w:rsid w:val="00921188"/>
    <w:rsid w:val="009254E6"/>
    <w:rsid w:val="00933947"/>
    <w:rsid w:val="00954DF6"/>
    <w:rsid w:val="00973544"/>
    <w:rsid w:val="00976B0B"/>
    <w:rsid w:val="00980C1A"/>
    <w:rsid w:val="00991123"/>
    <w:rsid w:val="009A0E5A"/>
    <w:rsid w:val="009A4990"/>
    <w:rsid w:val="009E24CA"/>
    <w:rsid w:val="009E40CD"/>
    <w:rsid w:val="009E469C"/>
    <w:rsid w:val="00A173CF"/>
    <w:rsid w:val="00A25973"/>
    <w:rsid w:val="00A82D07"/>
    <w:rsid w:val="00A86CD0"/>
    <w:rsid w:val="00A91344"/>
    <w:rsid w:val="00AC4CAC"/>
    <w:rsid w:val="00AC7DAE"/>
    <w:rsid w:val="00B07709"/>
    <w:rsid w:val="00B11EDA"/>
    <w:rsid w:val="00B12D00"/>
    <w:rsid w:val="00B17646"/>
    <w:rsid w:val="00B25E09"/>
    <w:rsid w:val="00B81F9C"/>
    <w:rsid w:val="00B86469"/>
    <w:rsid w:val="00B95E1D"/>
    <w:rsid w:val="00B96A3E"/>
    <w:rsid w:val="00BB058F"/>
    <w:rsid w:val="00BB208F"/>
    <w:rsid w:val="00BD4895"/>
    <w:rsid w:val="00BD6001"/>
    <w:rsid w:val="00BE601F"/>
    <w:rsid w:val="00BF406C"/>
    <w:rsid w:val="00BF531C"/>
    <w:rsid w:val="00C14009"/>
    <w:rsid w:val="00C30E63"/>
    <w:rsid w:val="00C671A9"/>
    <w:rsid w:val="00C75936"/>
    <w:rsid w:val="00C81107"/>
    <w:rsid w:val="00C92655"/>
    <w:rsid w:val="00CB26C2"/>
    <w:rsid w:val="00CE11B5"/>
    <w:rsid w:val="00CF4136"/>
    <w:rsid w:val="00CF77EF"/>
    <w:rsid w:val="00D13A3C"/>
    <w:rsid w:val="00D20611"/>
    <w:rsid w:val="00D24B5D"/>
    <w:rsid w:val="00D36B28"/>
    <w:rsid w:val="00D44D05"/>
    <w:rsid w:val="00D457A7"/>
    <w:rsid w:val="00D71E77"/>
    <w:rsid w:val="00D84986"/>
    <w:rsid w:val="00D9050C"/>
    <w:rsid w:val="00DC72FA"/>
    <w:rsid w:val="00DE3942"/>
    <w:rsid w:val="00DE62C0"/>
    <w:rsid w:val="00DF3090"/>
    <w:rsid w:val="00DF3C24"/>
    <w:rsid w:val="00E0409A"/>
    <w:rsid w:val="00E11FB9"/>
    <w:rsid w:val="00E12ED2"/>
    <w:rsid w:val="00E25AAB"/>
    <w:rsid w:val="00E44071"/>
    <w:rsid w:val="00E4439D"/>
    <w:rsid w:val="00E72E28"/>
    <w:rsid w:val="00EB7ADE"/>
    <w:rsid w:val="00EC277A"/>
    <w:rsid w:val="00EE293F"/>
    <w:rsid w:val="00EE355B"/>
    <w:rsid w:val="00EE6160"/>
    <w:rsid w:val="00EF299F"/>
    <w:rsid w:val="00EF6487"/>
    <w:rsid w:val="00F20CDC"/>
    <w:rsid w:val="00F25E3C"/>
    <w:rsid w:val="00F26972"/>
    <w:rsid w:val="00F330CB"/>
    <w:rsid w:val="00F348C2"/>
    <w:rsid w:val="00F5062C"/>
    <w:rsid w:val="00F56375"/>
    <w:rsid w:val="00F73016"/>
    <w:rsid w:val="00F92D4B"/>
    <w:rsid w:val="00F94F4A"/>
    <w:rsid w:val="00FB02B1"/>
    <w:rsid w:val="00FB3DFA"/>
    <w:rsid w:val="00FD620A"/>
    <w:rsid w:val="0163247B"/>
    <w:rsid w:val="023C70D1"/>
    <w:rsid w:val="09287D76"/>
    <w:rsid w:val="09E37FB3"/>
    <w:rsid w:val="0A0F5BB5"/>
    <w:rsid w:val="0C93343B"/>
    <w:rsid w:val="0E6F05D1"/>
    <w:rsid w:val="0F074FAA"/>
    <w:rsid w:val="15333719"/>
    <w:rsid w:val="157A4E35"/>
    <w:rsid w:val="15A6480D"/>
    <w:rsid w:val="1608351E"/>
    <w:rsid w:val="17A151E4"/>
    <w:rsid w:val="19771562"/>
    <w:rsid w:val="1DF613D3"/>
    <w:rsid w:val="20A0716E"/>
    <w:rsid w:val="21E9568B"/>
    <w:rsid w:val="26A022EB"/>
    <w:rsid w:val="278E005D"/>
    <w:rsid w:val="288B42E2"/>
    <w:rsid w:val="2FEC2936"/>
    <w:rsid w:val="30175C86"/>
    <w:rsid w:val="3038292B"/>
    <w:rsid w:val="33F53549"/>
    <w:rsid w:val="34BF02FC"/>
    <w:rsid w:val="38290730"/>
    <w:rsid w:val="3BDC4EF4"/>
    <w:rsid w:val="41842ED7"/>
    <w:rsid w:val="41E80EEB"/>
    <w:rsid w:val="44E060C2"/>
    <w:rsid w:val="4708796F"/>
    <w:rsid w:val="47283916"/>
    <w:rsid w:val="4A8C26DF"/>
    <w:rsid w:val="4C785019"/>
    <w:rsid w:val="4D3117FF"/>
    <w:rsid w:val="4F1638C7"/>
    <w:rsid w:val="508F329F"/>
    <w:rsid w:val="52264F17"/>
    <w:rsid w:val="527B4618"/>
    <w:rsid w:val="52B813CD"/>
    <w:rsid w:val="52D653D6"/>
    <w:rsid w:val="58E50BA2"/>
    <w:rsid w:val="598B674F"/>
    <w:rsid w:val="5B8E2CD1"/>
    <w:rsid w:val="5D5E44AA"/>
    <w:rsid w:val="628F7431"/>
    <w:rsid w:val="67D866A0"/>
    <w:rsid w:val="6C28527F"/>
    <w:rsid w:val="6D6123F1"/>
    <w:rsid w:val="7357203A"/>
    <w:rsid w:val="75352A78"/>
    <w:rsid w:val="7835786E"/>
    <w:rsid w:val="7C2B051C"/>
    <w:rsid w:val="7C775775"/>
    <w:rsid w:val="7CDA58DC"/>
    <w:rsid w:val="7F8D211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iPriority="0" w:name="HTML Keyboard"/>
    <w:lsdException w:uiPriority="0" w:name="HTML Preformatted"/>
    <w:lsdException w:uiPriority="0" w:name="HTML Sample"/>
    <w:lsdException w:uiPriority="0" w:name="HTML Typewriter"/>
    <w:lsdException w:qFormat="1" w:unhideWhenUsed="0" w:uiPriority="0" w:semiHidden="0" w:name="HTML Variable"/>
    <w:lsdException w:qFormat="1" w:uiPriority="99" w:semiHidden="0"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unhideWhenUsed/>
    <w:qFormat/>
    <w:uiPriority w:val="0"/>
    <w:pPr>
      <w:jc w:val="left"/>
      <w:outlineLvl w:val="1"/>
    </w:pPr>
    <w:rPr>
      <w:rFonts w:hint="eastAsia" w:ascii="宋体" w:hAnsi="宋体" w:eastAsia="宋体" w:cs="Times New Roman"/>
      <w:kern w:val="0"/>
      <w:sz w:val="24"/>
    </w:rPr>
  </w:style>
  <w:style w:type="paragraph" w:styleId="3">
    <w:name w:val="heading 4"/>
    <w:basedOn w:val="1"/>
    <w:next w:val="1"/>
    <w:autoRedefine/>
    <w:unhideWhenUsed/>
    <w:qFormat/>
    <w:uiPriority w:val="0"/>
    <w:pPr>
      <w:jc w:val="left"/>
      <w:outlineLvl w:val="3"/>
    </w:pPr>
    <w:rPr>
      <w:rFonts w:hint="eastAsia" w:ascii="宋体" w:hAnsi="宋体" w:eastAsia="宋体" w:cs="Times New Roman"/>
      <w:kern w:val="0"/>
      <w:sz w:val="24"/>
    </w:rPr>
  </w:style>
  <w:style w:type="character" w:default="1" w:styleId="13">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4">
    <w:name w:val="annotation text"/>
    <w:basedOn w:val="1"/>
    <w:link w:val="34"/>
    <w:autoRedefine/>
    <w:unhideWhenUsed/>
    <w:qFormat/>
    <w:uiPriority w:val="0"/>
    <w:pPr>
      <w:jc w:val="left"/>
    </w:pPr>
  </w:style>
  <w:style w:type="paragraph" w:styleId="5">
    <w:name w:val="Plain Text"/>
    <w:basedOn w:val="1"/>
    <w:link w:val="31"/>
    <w:autoRedefine/>
    <w:qFormat/>
    <w:uiPriority w:val="0"/>
    <w:rPr>
      <w:rFonts w:ascii="宋体" w:hAnsi="Courier New" w:eastAsia="宋体" w:cs="Courier New"/>
      <w:kern w:val="0"/>
      <w:sz w:val="20"/>
      <w:szCs w:val="21"/>
    </w:rPr>
  </w:style>
  <w:style w:type="paragraph" w:styleId="6">
    <w:name w:val="Balloon Text"/>
    <w:basedOn w:val="1"/>
    <w:link w:val="36"/>
    <w:autoRedefine/>
    <w:unhideWhenUsed/>
    <w:qFormat/>
    <w:uiPriority w:val="0"/>
    <w:rPr>
      <w:sz w:val="18"/>
      <w:szCs w:val="18"/>
    </w:rPr>
  </w:style>
  <w:style w:type="paragraph" w:styleId="7">
    <w:name w:val="footer"/>
    <w:basedOn w:val="1"/>
    <w:link w:val="29"/>
    <w:autoRedefine/>
    <w:qFormat/>
    <w:uiPriority w:val="99"/>
    <w:pPr>
      <w:tabs>
        <w:tab w:val="center" w:pos="4153"/>
        <w:tab w:val="right" w:pos="8306"/>
      </w:tabs>
      <w:snapToGrid w:val="0"/>
      <w:jc w:val="left"/>
    </w:pPr>
    <w:rPr>
      <w:sz w:val="18"/>
      <w:szCs w:val="18"/>
    </w:rPr>
  </w:style>
  <w:style w:type="paragraph" w:styleId="8">
    <w:name w:val="header"/>
    <w:basedOn w:val="1"/>
    <w:link w:val="28"/>
    <w:autoRedefine/>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99"/>
    <w:pPr>
      <w:jc w:val="left"/>
    </w:pPr>
    <w:rPr>
      <w:rFonts w:cs="Times New Roman"/>
      <w:kern w:val="0"/>
      <w:sz w:val="24"/>
    </w:rPr>
  </w:style>
  <w:style w:type="paragraph" w:styleId="10">
    <w:name w:val="annotation subject"/>
    <w:basedOn w:val="4"/>
    <w:next w:val="4"/>
    <w:link w:val="35"/>
    <w:autoRedefine/>
    <w:unhideWhenUsed/>
    <w:qFormat/>
    <w:uiPriority w:val="0"/>
    <w:rPr>
      <w:b/>
      <w:bCs/>
    </w:rPr>
  </w:style>
  <w:style w:type="table" w:styleId="12">
    <w:name w:val="Table Grid"/>
    <w:basedOn w:val="1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autoRedefine/>
    <w:qFormat/>
    <w:uiPriority w:val="0"/>
    <w:rPr>
      <w:b/>
    </w:rPr>
  </w:style>
  <w:style w:type="character" w:styleId="15">
    <w:name w:val="FollowedHyperlink"/>
    <w:basedOn w:val="13"/>
    <w:autoRedefine/>
    <w:qFormat/>
    <w:uiPriority w:val="0"/>
    <w:rPr>
      <w:color w:val="333333"/>
      <w:u w:val="none"/>
    </w:rPr>
  </w:style>
  <w:style w:type="character" w:styleId="16">
    <w:name w:val="Emphasis"/>
    <w:basedOn w:val="13"/>
    <w:autoRedefine/>
    <w:qFormat/>
    <w:uiPriority w:val="0"/>
  </w:style>
  <w:style w:type="character" w:styleId="17">
    <w:name w:val="HTML Definition"/>
    <w:basedOn w:val="13"/>
    <w:autoRedefine/>
    <w:qFormat/>
    <w:uiPriority w:val="0"/>
  </w:style>
  <w:style w:type="character" w:styleId="18">
    <w:name w:val="HTML Acronym"/>
    <w:basedOn w:val="13"/>
    <w:autoRedefine/>
    <w:qFormat/>
    <w:uiPriority w:val="0"/>
  </w:style>
  <w:style w:type="character" w:styleId="19">
    <w:name w:val="HTML Variable"/>
    <w:basedOn w:val="13"/>
    <w:autoRedefine/>
    <w:qFormat/>
    <w:uiPriority w:val="0"/>
  </w:style>
  <w:style w:type="character" w:styleId="20">
    <w:name w:val="Hyperlink"/>
    <w:basedOn w:val="13"/>
    <w:autoRedefine/>
    <w:qFormat/>
    <w:uiPriority w:val="0"/>
    <w:rPr>
      <w:color w:val="333333"/>
      <w:u w:val="none"/>
    </w:rPr>
  </w:style>
  <w:style w:type="character" w:styleId="21">
    <w:name w:val="HTML Code"/>
    <w:basedOn w:val="13"/>
    <w:autoRedefine/>
    <w:qFormat/>
    <w:uiPriority w:val="0"/>
    <w:rPr>
      <w:rFonts w:ascii="Courier New" w:hAnsi="Courier New"/>
      <w:sz w:val="20"/>
    </w:rPr>
  </w:style>
  <w:style w:type="character" w:styleId="22">
    <w:name w:val="annotation reference"/>
    <w:basedOn w:val="13"/>
    <w:autoRedefine/>
    <w:unhideWhenUsed/>
    <w:qFormat/>
    <w:uiPriority w:val="0"/>
    <w:rPr>
      <w:sz w:val="21"/>
      <w:szCs w:val="21"/>
    </w:rPr>
  </w:style>
  <w:style w:type="character" w:styleId="23">
    <w:name w:val="HTML Cite"/>
    <w:basedOn w:val="13"/>
    <w:autoRedefine/>
    <w:qFormat/>
    <w:uiPriority w:val="0"/>
  </w:style>
  <w:style w:type="character" w:customStyle="1" w:styleId="24">
    <w:name w:val="current"/>
    <w:basedOn w:val="13"/>
    <w:autoRedefine/>
    <w:qFormat/>
    <w:uiPriority w:val="0"/>
    <w:rPr>
      <w:b/>
      <w:bCs/>
      <w:color w:val="FFFFFF"/>
      <w:bdr w:val="single" w:color="7D6543" w:sz="6" w:space="0"/>
      <w:shd w:val="clear" w:color="auto" w:fill="7D6543"/>
    </w:rPr>
  </w:style>
  <w:style w:type="character" w:customStyle="1" w:styleId="25">
    <w:name w:val="disabled"/>
    <w:basedOn w:val="13"/>
    <w:autoRedefine/>
    <w:qFormat/>
    <w:uiPriority w:val="0"/>
    <w:rPr>
      <w:color w:val="999999"/>
      <w:bdr w:val="single" w:color="C5C5C5" w:sz="6" w:space="0"/>
    </w:rPr>
  </w:style>
  <w:style w:type="character" w:customStyle="1" w:styleId="26">
    <w:name w:val="font11"/>
    <w:basedOn w:val="13"/>
    <w:qFormat/>
    <w:uiPriority w:val="0"/>
    <w:rPr>
      <w:rFonts w:hint="eastAsia" w:ascii="宋体" w:hAnsi="宋体" w:eastAsia="宋体" w:cs="宋体"/>
      <w:color w:val="000000"/>
      <w:sz w:val="24"/>
      <w:szCs w:val="24"/>
      <w:u w:val="none"/>
    </w:rPr>
  </w:style>
  <w:style w:type="character" w:customStyle="1" w:styleId="27">
    <w:name w:val="font31"/>
    <w:basedOn w:val="13"/>
    <w:autoRedefine/>
    <w:qFormat/>
    <w:uiPriority w:val="0"/>
    <w:rPr>
      <w:rFonts w:hint="eastAsia" w:ascii="宋体" w:hAnsi="宋体" w:eastAsia="宋体" w:cs="宋体"/>
      <w:color w:val="000000"/>
      <w:sz w:val="24"/>
      <w:szCs w:val="24"/>
      <w:u w:val="none"/>
    </w:rPr>
  </w:style>
  <w:style w:type="character" w:customStyle="1" w:styleId="28">
    <w:name w:val="页眉 Char"/>
    <w:basedOn w:val="13"/>
    <w:link w:val="8"/>
    <w:autoRedefine/>
    <w:qFormat/>
    <w:uiPriority w:val="99"/>
    <w:rPr>
      <w:rFonts w:asciiTheme="minorHAnsi" w:hAnsiTheme="minorHAnsi" w:eastAsiaTheme="minorEastAsia" w:cstheme="minorBidi"/>
      <w:kern w:val="2"/>
      <w:sz w:val="18"/>
      <w:szCs w:val="18"/>
    </w:rPr>
  </w:style>
  <w:style w:type="character" w:customStyle="1" w:styleId="29">
    <w:name w:val="页脚 Char"/>
    <w:basedOn w:val="13"/>
    <w:link w:val="7"/>
    <w:autoRedefine/>
    <w:qFormat/>
    <w:uiPriority w:val="99"/>
    <w:rPr>
      <w:rFonts w:asciiTheme="minorHAnsi" w:hAnsiTheme="minorHAnsi" w:eastAsiaTheme="minorEastAsia" w:cstheme="minorBidi"/>
      <w:kern w:val="2"/>
      <w:sz w:val="18"/>
      <w:szCs w:val="18"/>
    </w:rPr>
  </w:style>
  <w:style w:type="paragraph" w:customStyle="1" w:styleId="30">
    <w:name w:val="List Paragraph"/>
    <w:basedOn w:val="1"/>
    <w:autoRedefine/>
    <w:unhideWhenUsed/>
    <w:qFormat/>
    <w:uiPriority w:val="99"/>
    <w:pPr>
      <w:ind w:firstLine="420" w:firstLineChars="200"/>
    </w:pPr>
  </w:style>
  <w:style w:type="character" w:customStyle="1" w:styleId="31">
    <w:name w:val="纯文本 Char"/>
    <w:basedOn w:val="13"/>
    <w:link w:val="5"/>
    <w:autoRedefine/>
    <w:qFormat/>
    <w:uiPriority w:val="0"/>
    <w:rPr>
      <w:rFonts w:ascii="宋体" w:hAnsi="Courier New" w:cs="Courier New"/>
      <w:szCs w:val="21"/>
    </w:rPr>
  </w:style>
  <w:style w:type="paragraph" w:customStyle="1" w:styleId="32">
    <w:name w:val="No Spacing"/>
    <w:link w:val="33"/>
    <w:autoRedefine/>
    <w:qFormat/>
    <w:uiPriority w:val="1"/>
    <w:rPr>
      <w:rFonts w:asciiTheme="minorHAnsi" w:hAnsiTheme="minorHAnsi" w:eastAsiaTheme="minorEastAsia" w:cstheme="minorBidi"/>
      <w:sz w:val="22"/>
      <w:szCs w:val="22"/>
      <w:lang w:val="en-US" w:eastAsia="zh-CN" w:bidi="ar-SA"/>
    </w:rPr>
  </w:style>
  <w:style w:type="character" w:customStyle="1" w:styleId="33">
    <w:name w:val="无间隔 Char"/>
    <w:basedOn w:val="13"/>
    <w:link w:val="32"/>
    <w:autoRedefine/>
    <w:qFormat/>
    <w:uiPriority w:val="1"/>
    <w:rPr>
      <w:rFonts w:asciiTheme="minorHAnsi" w:hAnsiTheme="minorHAnsi" w:eastAsiaTheme="minorEastAsia" w:cstheme="minorBidi"/>
      <w:sz w:val="22"/>
      <w:szCs w:val="22"/>
    </w:rPr>
  </w:style>
  <w:style w:type="character" w:customStyle="1" w:styleId="34">
    <w:name w:val="批注文字 Char"/>
    <w:basedOn w:val="13"/>
    <w:link w:val="4"/>
    <w:semiHidden/>
    <w:qFormat/>
    <w:uiPriority w:val="0"/>
    <w:rPr>
      <w:rFonts w:asciiTheme="minorHAnsi" w:hAnsiTheme="minorHAnsi" w:eastAsiaTheme="minorEastAsia" w:cstheme="minorBidi"/>
      <w:kern w:val="2"/>
      <w:sz w:val="21"/>
      <w:szCs w:val="24"/>
    </w:rPr>
  </w:style>
  <w:style w:type="character" w:customStyle="1" w:styleId="35">
    <w:name w:val="批注主题 Char"/>
    <w:basedOn w:val="34"/>
    <w:link w:val="10"/>
    <w:autoRedefine/>
    <w:semiHidden/>
    <w:qFormat/>
    <w:uiPriority w:val="0"/>
    <w:rPr>
      <w:rFonts w:asciiTheme="minorHAnsi" w:hAnsiTheme="minorHAnsi" w:eastAsiaTheme="minorEastAsia" w:cstheme="minorBidi"/>
      <w:b/>
      <w:bCs/>
      <w:kern w:val="2"/>
      <w:sz w:val="21"/>
      <w:szCs w:val="24"/>
    </w:rPr>
  </w:style>
  <w:style w:type="character" w:customStyle="1" w:styleId="36">
    <w:name w:val="批注框文本 Char"/>
    <w:basedOn w:val="13"/>
    <w:link w:val="6"/>
    <w:autoRedefine/>
    <w:semiHidden/>
    <w:qFormat/>
    <w:uiPriority w:val="0"/>
    <w:rPr>
      <w:rFonts w:asciiTheme="minorHAnsi" w:hAnsiTheme="minorHAnsi" w:eastAsiaTheme="minorEastAsia" w:cstheme="minorBidi"/>
      <w:kern w:val="2"/>
      <w:sz w:val="18"/>
      <w:szCs w:val="18"/>
    </w:rPr>
  </w:style>
  <w:style w:type="paragraph" w:customStyle="1" w:styleId="37">
    <w:name w:val="列出段落1"/>
    <w:basedOn w:val="1"/>
    <w:autoRedefine/>
    <w:qFormat/>
    <w:uiPriority w:val="34"/>
    <w:pPr>
      <w:ind w:firstLine="420" w:firstLineChars="200"/>
    </w:pPr>
    <w:rPr>
      <w:rFonts w:ascii="Times New Roman" w:hAnsi="Times New Roman"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51C58-2E0D-40A0-A8ED-C01B338F4D4F}">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1360</Words>
  <Characters>1447</Characters>
  <Lines>9</Lines>
  <Paragraphs>2</Paragraphs>
  <TotalTime>1</TotalTime>
  <ScaleCrop>false</ScaleCrop>
  <LinksUpToDate>false</LinksUpToDate>
  <CharactersWithSpaces>1480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2022-01-12T07:29:00Z</dcterms:created>
  <dc:creator>Administrator</dc:creator>
  <cp:lastModifiedBy>Administrator</cp:lastModifiedBy>
  <cp:lastPrinted>2024-04-23T02:12:00Z</cp:lastPrinted>
  <dcterms:modified xsi:type="dcterms:W3CDTF">2024-04-23T03:02:44Z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9F3CDEEFDE5A4948A1CDF33C91E1B2AC_13</vt:lpwstr>
  </property>
</Properties>
</file>