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b/>
          <w:sz w:val="28"/>
          <w:szCs w:val="28"/>
        </w:rPr>
      </w:pPr>
      <w:r>
        <w:rPr>
          <w:rFonts w:hint="eastAsia" w:ascii="宋体" w:hAnsi="宋体"/>
          <w:b/>
          <w:sz w:val="28"/>
          <w:szCs w:val="28"/>
        </w:rPr>
        <w:t>附件3</w:t>
      </w:r>
    </w:p>
    <w:p>
      <w:pPr>
        <w:spacing w:line="400" w:lineRule="exact"/>
        <w:jc w:val="center"/>
        <w:rPr>
          <w:rFonts w:ascii="宋体" w:hAnsi="宋体"/>
          <w:b/>
          <w:sz w:val="28"/>
          <w:szCs w:val="28"/>
        </w:rPr>
      </w:pPr>
      <w:r>
        <w:rPr>
          <w:rFonts w:hint="eastAsia" w:ascii="宋体" w:hAnsi="宋体"/>
          <w:b/>
          <w:sz w:val="28"/>
          <w:szCs w:val="28"/>
        </w:rPr>
        <w:t>采购需求</w:t>
      </w:r>
    </w:p>
    <w:tbl>
      <w:tblPr>
        <w:tblStyle w:val="11"/>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983"/>
        <w:gridCol w:w="948"/>
        <w:gridCol w:w="920"/>
        <w:gridCol w:w="1471"/>
        <w:gridCol w:w="40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szCs w:val="21"/>
              </w:rPr>
            </w:pPr>
            <w:r>
              <w:rPr>
                <w:rFonts w:hint="eastAsia" w:ascii="宋体" w:hAnsi="宋体"/>
                <w:b/>
                <w:szCs w:val="21"/>
              </w:rPr>
              <w:t>一、物品参数需求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序号</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采购物品名称</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品牌</w:t>
            </w: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数量</w:t>
            </w:r>
          </w:p>
          <w:p>
            <w:pPr>
              <w:spacing w:line="360" w:lineRule="auto"/>
              <w:jc w:val="center"/>
              <w:rPr>
                <w:rFonts w:ascii="宋体" w:hAnsi="宋体"/>
                <w:b/>
                <w:szCs w:val="21"/>
              </w:rPr>
            </w:pPr>
            <w:r>
              <w:rPr>
                <w:rFonts w:hint="eastAsia" w:ascii="宋体" w:hAnsi="宋体"/>
                <w:b/>
                <w:szCs w:val="21"/>
              </w:rPr>
              <w:t>单位</w:t>
            </w:r>
          </w:p>
        </w:tc>
        <w:tc>
          <w:tcPr>
            <w:tcW w:w="40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项目要求及物品参数需求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1931" w:type="dxa"/>
            <w:gridSpan w:val="2"/>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一体化针刺手法训练及考核系统</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天堰科技TY5031</w:t>
            </w: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2台</w:t>
            </w:r>
          </w:p>
        </w:tc>
        <w:tc>
          <w:tcPr>
            <w:tcW w:w="4057"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1.本系统由高精度操作机构、指力训练模块、视频采集装置、平板电脑（已安装评价软件）及台车组成，可以进行临床常用针刺手法的学习、训练及考核。</w:t>
            </w:r>
          </w:p>
          <w:p>
            <w:pPr>
              <w:rPr>
                <w:rFonts w:hint="eastAsia"/>
              </w:rPr>
            </w:pPr>
            <w:r>
              <w:rPr>
                <w:rFonts w:hint="eastAsia"/>
              </w:rPr>
              <w:t>2.★操作机构可使用直径0.35mm的临床真实毫针，结合视频采集装置，实时检测操作数据并同步展示在软件中，用于针刺技能训练和考核。</w:t>
            </w:r>
          </w:p>
          <w:p>
            <w:pPr>
              <w:rPr>
                <w:rFonts w:hint="eastAsia"/>
              </w:rPr>
            </w:pPr>
            <w:r>
              <w:rPr>
                <w:rFonts w:hint="eastAsia"/>
              </w:rPr>
              <w:t>针刺台车：</w:t>
            </w:r>
          </w:p>
          <w:p>
            <w:pPr>
              <w:rPr>
                <w:rFonts w:hint="eastAsia"/>
              </w:rPr>
            </w:pPr>
            <w:r>
              <w:rPr>
                <w:rFonts w:hint="eastAsia"/>
              </w:rPr>
              <w:t>1.★台车尺寸500*505*1010mm（含平板电脑），采用台车式平台教学，具有两个针刺检测装置，可精准检测进针深度、提插幅度、提插频率、捻转角度、捻转频率、摇摆角度、摇摆频率、组数、操作稳定性等数据。</w:t>
            </w:r>
          </w:p>
          <w:p>
            <w:pPr>
              <w:rPr>
                <w:rFonts w:hint="eastAsia"/>
              </w:rPr>
            </w:pPr>
            <w:r>
              <w:rPr>
                <w:rFonts w:hint="eastAsia"/>
              </w:rPr>
              <w:t>2.★内置一个可更换的刺法指力训练模块，具有人体皮肤的突破感，可训练针刺指力和刺法。</w:t>
            </w:r>
          </w:p>
          <w:p>
            <w:pPr>
              <w:rPr>
                <w:rFonts w:hint="eastAsia"/>
              </w:rPr>
            </w:pPr>
            <w:r>
              <w:rPr>
                <w:rFonts w:hint="eastAsia"/>
              </w:rPr>
              <w:t>3.可进行提插法、捻转法、摇法等行针手法和提插补泻、捻转补泻、呼吸补泻、烧山火、透天凉等补泻手法的操作。</w:t>
            </w:r>
          </w:p>
          <w:p>
            <w:pPr>
              <w:rPr>
                <w:rFonts w:hint="eastAsia"/>
              </w:rPr>
            </w:pPr>
            <w:r>
              <w:rPr>
                <w:rFonts w:hint="eastAsia"/>
              </w:rPr>
              <w:t>4.★带有彩色灯带，可用灯光的动态变换来实时指示针刺的多种参数改变；在呼吸补泻手法训练时，能同步模拟呼吸状态。</w:t>
            </w:r>
          </w:p>
          <w:p>
            <w:pPr>
              <w:rPr>
                <w:rFonts w:hint="eastAsia"/>
              </w:rPr>
            </w:pPr>
            <w:r>
              <w:rPr>
                <w:rFonts w:hint="eastAsia"/>
              </w:rPr>
              <w:t>5.★可进行提插、捻转、摇摆、指力、刺法等全方位针刺训练。</w:t>
            </w:r>
          </w:p>
          <w:p>
            <w:pPr>
              <w:rPr>
                <w:rFonts w:hint="eastAsia"/>
              </w:rPr>
            </w:pPr>
            <w:r>
              <w:rPr>
                <w:rFonts w:hint="eastAsia"/>
              </w:rPr>
              <w:t>6.★针刺台车内可储存不同长度的针灸针不少于60支。</w:t>
            </w:r>
          </w:p>
          <w:p>
            <w:pPr>
              <w:rPr>
                <w:rFonts w:hint="eastAsia"/>
              </w:rPr>
            </w:pPr>
            <w:r>
              <w:rPr>
                <w:rFonts w:hint="eastAsia"/>
              </w:rPr>
              <w:t>7.一体化台车式设计，带有可锁定的脚轮，方便移动。</w:t>
            </w:r>
          </w:p>
          <w:p>
            <w:pPr>
              <w:rPr>
                <w:rFonts w:hint="eastAsia"/>
              </w:rPr>
            </w:pPr>
            <w:r>
              <w:rPr>
                <w:rFonts w:hint="eastAsia"/>
              </w:rPr>
              <w:t>视频采集装置：</w:t>
            </w:r>
          </w:p>
          <w:p>
            <w:pPr>
              <w:rPr>
                <w:rFonts w:hint="eastAsia"/>
              </w:rPr>
            </w:pPr>
            <w:r>
              <w:rPr>
                <w:rFonts w:hint="eastAsia"/>
              </w:rPr>
              <w:t>1.视频采集装置固定于台车上，可全面采集手法操作细节。</w:t>
            </w:r>
          </w:p>
          <w:p>
            <w:pPr>
              <w:rPr>
                <w:rFonts w:hint="eastAsia"/>
              </w:rPr>
            </w:pPr>
            <w:r>
              <w:rPr>
                <w:rFonts w:hint="eastAsia"/>
              </w:rPr>
              <w:t>2.采集视频可自动存储并上传。</w:t>
            </w:r>
          </w:p>
          <w:p>
            <w:pPr>
              <w:rPr>
                <w:rFonts w:hint="eastAsia"/>
              </w:rPr>
            </w:pPr>
            <w:r>
              <w:rPr>
                <w:rFonts w:hint="eastAsia"/>
              </w:rPr>
              <w:t>评价软件：</w:t>
            </w:r>
          </w:p>
          <w:p>
            <w:pPr>
              <w:rPr>
                <w:rFonts w:hint="eastAsia"/>
              </w:rPr>
            </w:pPr>
            <w:r>
              <w:rPr>
                <w:rFonts w:hint="eastAsia"/>
              </w:rPr>
              <w:t>1.系统内置针刺手法学习资料，包含文字、图片、视频，可供学生进行针刺手法理论知识学习。</w:t>
            </w:r>
          </w:p>
          <w:p>
            <w:pPr>
              <w:rPr>
                <w:rFonts w:hint="eastAsia"/>
              </w:rPr>
            </w:pPr>
            <w:r>
              <w:rPr>
                <w:rFonts w:hint="eastAsia"/>
              </w:rPr>
              <w:t>2.教师可对学习资料进行编辑。</w:t>
            </w:r>
          </w:p>
          <w:p>
            <w:pPr>
              <w:rPr>
                <w:rFonts w:hint="eastAsia"/>
              </w:rPr>
            </w:pPr>
            <w:r>
              <w:rPr>
                <w:rFonts w:hint="eastAsia"/>
              </w:rPr>
              <w:t>3.可采集专家手法，完整记录专家的操作过程。</w:t>
            </w:r>
          </w:p>
          <w:p>
            <w:pPr>
              <w:rPr>
                <w:rFonts w:hint="eastAsia"/>
              </w:rPr>
            </w:pPr>
            <w:r>
              <w:rPr>
                <w:rFonts w:hint="eastAsia"/>
              </w:rPr>
              <w:t>4.系统以操作曲线、瞬时状态图、瞬时统计参数、采集视频、三维毫针轨迹图等多种方式同步记录操作数据。</w:t>
            </w:r>
          </w:p>
          <w:p>
            <w:pPr>
              <w:rPr>
                <w:rFonts w:hint="eastAsia"/>
              </w:rPr>
            </w:pPr>
            <w:r>
              <w:rPr>
                <w:rFonts w:hint="eastAsia"/>
              </w:rPr>
              <w:t>5.系统可选择不少于100个穴位，可针对不同穴位的进针深度进行训练及考核。</w:t>
            </w:r>
          </w:p>
          <w:p>
            <w:pPr>
              <w:rPr>
                <w:rFonts w:hint="eastAsia"/>
              </w:rPr>
            </w:pPr>
            <w:r>
              <w:rPr>
                <w:rFonts w:hint="eastAsia"/>
              </w:rPr>
              <w:t>6.系统内置提插法、捻转法、弹法、揺法、飞法、震颤法、搓法等行针手法以及提插补泻、捻转补泻、呼吸补泻、烧山火、透天凉等补泻手法不少于20种，供学生自主练习和考核。</w:t>
            </w:r>
          </w:p>
          <w:p>
            <w:pPr>
              <w:rPr>
                <w:rFonts w:hint="eastAsia"/>
              </w:rPr>
            </w:pPr>
            <w:r>
              <w:rPr>
                <w:rFonts w:hint="eastAsia"/>
              </w:rPr>
              <w:t>7.可进行提插法、捻转法和摇法等针刺手法的训练，系统可显示提插的幅度、频率，捻转和摇摆的角度、频率等数据；并可描绘提插幅度、捻转角度和摇摆角度的实时动态图及完整曲线图，训练数据完整保存，方便进行回放。</w:t>
            </w:r>
          </w:p>
          <w:p>
            <w:pPr>
              <w:rPr>
                <w:rFonts w:hint="eastAsia"/>
              </w:rPr>
            </w:pPr>
            <w:r>
              <w:rPr>
                <w:rFonts w:hint="eastAsia"/>
              </w:rPr>
              <w:t>8.学生练习时，通过操作曲线、瞬时状态图、瞬时统计参数、采集视频、三维毫针轨迹图与专家手法进行参照对比，可实时修正自己的操作手法。</w:t>
            </w:r>
          </w:p>
          <w:p>
            <w:pPr>
              <w:rPr>
                <w:rFonts w:hint="eastAsia"/>
              </w:rPr>
            </w:pPr>
            <w:r>
              <w:rPr>
                <w:rFonts w:hint="eastAsia"/>
              </w:rPr>
              <w:t>9.教师可进行网络化针刺手法题的组卷与考核，具有试卷导入导出功能。</w:t>
            </w:r>
          </w:p>
          <w:p>
            <w:pPr>
              <w:rPr>
                <w:rFonts w:hint="eastAsia"/>
              </w:rPr>
            </w:pPr>
            <w:r>
              <w:rPr>
                <w:rFonts w:hint="eastAsia"/>
              </w:rPr>
              <w:t>10.★教师可查看学生考核数据，包括操作曲线、瞬时状态图、瞬时统计参数、采集视频、三维毫针轨迹图，系统自动记录多种数据指标：进针深度、提插幅度、捻转角度、捻转频率、摇摆角度、摇摆频率、组数、操作时长、操作稳定性，为教师主观评价提供数据依据。</w:t>
            </w:r>
          </w:p>
          <w:p>
            <w:pPr>
              <w:rPr>
                <w:rFonts w:hint="eastAsia"/>
              </w:rPr>
            </w:pPr>
            <w:r>
              <w:rPr>
                <w:rFonts w:hint="eastAsia"/>
              </w:rPr>
              <w:t>11.可设置客观评分和主观评分的权重，评分自由、灵活。</w:t>
            </w:r>
          </w:p>
          <w:p>
            <w:pPr>
              <w:rPr>
                <w:rFonts w:hint="eastAsia"/>
              </w:rPr>
            </w:pPr>
            <w:r>
              <w:rPr>
                <w:rFonts w:hint="eastAsia"/>
              </w:rPr>
              <w:t>12.★针刺操作数据统计页与针刺手法相对应，可转存、导出及打印。</w:t>
            </w:r>
          </w:p>
          <w:p>
            <w:pPr>
              <w:rPr>
                <w:lang w:bidi="ar"/>
              </w:rPr>
            </w:pPr>
            <w:r>
              <w:rPr>
                <w:rFonts w:hint="eastAsia"/>
              </w:rPr>
              <w:t>13.可连接到学校的投影仪等大尺寸显示设备，便于展示训练手法和软件内容。</w:t>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cs="宋体"/>
                <w:kern w:val="0"/>
                <w:szCs w:val="21"/>
              </w:rPr>
            </w:pPr>
            <w:r>
              <w:rPr>
                <w:rFonts w:hint="eastAsia" w:ascii="宋体" w:hAnsi="宋体" w:cs="宋体"/>
                <w:kern w:val="0"/>
                <w:szCs w:val="21"/>
              </w:rPr>
              <w:t>二、商务需求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szCs w:val="21"/>
              </w:rPr>
              <w:t>服务期限及地点</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、服务期限</w:t>
            </w:r>
            <w:r>
              <w:rPr>
                <w:rFonts w:ascii="宋体" w:hAnsi="宋体" w:cs="宋体"/>
                <w:kern w:val="0"/>
                <w:szCs w:val="21"/>
              </w:rPr>
              <w:t xml:space="preserve"> </w:t>
            </w:r>
            <w:r>
              <w:rPr>
                <w:rFonts w:hint="eastAsia" w:ascii="宋体" w:hAnsi="宋体" w:cs="宋体"/>
                <w:kern w:val="0"/>
                <w:szCs w:val="21"/>
              </w:rPr>
              <w:t>：合同签订之日起10个工作日内。</w:t>
            </w:r>
          </w:p>
          <w:p>
            <w:pPr>
              <w:autoSpaceDE w:val="0"/>
              <w:autoSpaceDN w:val="0"/>
              <w:adjustRightInd w:val="0"/>
              <w:spacing w:line="360" w:lineRule="auto"/>
              <w:jc w:val="left"/>
              <w:rPr>
                <w:rFonts w:hint="default" w:ascii="宋体" w:hAnsi="宋体" w:cs="宋体" w:eastAsiaTheme="minorEastAsia"/>
                <w:kern w:val="0"/>
                <w:szCs w:val="21"/>
                <w:lang w:val="en-US" w:eastAsia="zh-CN"/>
              </w:rPr>
            </w:pPr>
            <w:r>
              <w:rPr>
                <w:rFonts w:hint="eastAsia" w:ascii="宋体" w:hAnsi="宋体" w:cs="宋体"/>
                <w:kern w:val="0"/>
                <w:szCs w:val="21"/>
              </w:rPr>
              <w:t>2、服务地点：广西中医药大学</w:t>
            </w:r>
            <w:r>
              <w:rPr>
                <w:rFonts w:hint="eastAsia" w:ascii="宋体" w:hAnsi="宋体" w:cs="宋体"/>
                <w:kern w:val="0"/>
                <w:szCs w:val="21"/>
                <w:lang w:val="en-US" w:eastAsia="zh-CN"/>
              </w:rPr>
              <w:t>附属国际壮医医院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付款</w:t>
            </w:r>
            <w:r>
              <w:rPr>
                <w:rFonts w:hint="eastAsia" w:ascii="宋体" w:hAnsi="宋体"/>
                <w:szCs w:val="21"/>
              </w:rPr>
              <w:t>条件</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574"/>
              <w:rPr>
                <w:rFonts w:ascii="宋体" w:hAnsi="宋体" w:eastAsia="宋体" w:cs="宋体"/>
                <w:kern w:val="1"/>
                <w:szCs w:val="21"/>
              </w:rPr>
            </w:pPr>
            <w:r>
              <w:rPr>
                <w:rFonts w:hint="eastAsia" w:ascii="宋体" w:hAnsi="宋体" w:eastAsia="宋体" w:cs="宋体"/>
                <w:kern w:val="1"/>
                <w:szCs w:val="21"/>
              </w:rPr>
              <w:t>合同约定时间完成任务，采购人在15个工作日内凭供应商开具的全额发票，一次性付清全部安全鉴定检测服务费用。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TimesNewRomanPSMT"/>
                <w:b/>
                <w:kern w:val="0"/>
                <w:szCs w:val="21"/>
              </w:rPr>
              <w:t>三、其他要求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TimesNewRomanPSMT"/>
                <w:kern w:val="0"/>
                <w:szCs w:val="21"/>
              </w:rPr>
            </w:pP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b/>
                <w:bCs/>
              </w:rPr>
            </w:pPr>
            <w:r>
              <w:rPr>
                <w:rFonts w:hint="eastAsia" w:ascii="宋体" w:hAnsi="宋体"/>
                <w:b/>
                <w:bCs/>
              </w:rPr>
              <w:t>▲1、10个工作日内完成供货。</w:t>
            </w:r>
          </w:p>
          <w:p>
            <w:pPr>
              <w:autoSpaceDE w:val="0"/>
              <w:autoSpaceDN w:val="0"/>
              <w:adjustRightInd w:val="0"/>
              <w:spacing w:line="360" w:lineRule="auto"/>
              <w:jc w:val="left"/>
              <w:rPr>
                <w:rFonts w:ascii="宋体" w:hAnsi="宋体"/>
                <w:b/>
                <w:bCs/>
              </w:rPr>
            </w:pPr>
            <w:r>
              <w:rPr>
                <w:rFonts w:hint="eastAsia" w:ascii="宋体" w:hAnsi="宋体"/>
                <w:b/>
                <w:bCs/>
              </w:rPr>
              <w:t>▲2、本项目按服务费用内进行报价，报价必须含以下部分：①采用全包方式即合同金额，包括一切施工设备、人工费、各种保险费、税费等一切费用。</w:t>
            </w:r>
          </w:p>
          <w:p>
            <w:pPr>
              <w:autoSpaceDE w:val="0"/>
              <w:autoSpaceDN w:val="0"/>
              <w:adjustRightInd w:val="0"/>
              <w:spacing w:line="360" w:lineRule="auto"/>
              <w:jc w:val="left"/>
              <w:rPr>
                <w:rFonts w:ascii="宋体" w:hAnsi="宋体"/>
                <w:b/>
                <w:bCs/>
              </w:rPr>
            </w:pPr>
            <w:r>
              <w:rPr>
                <w:rFonts w:hint="eastAsia" w:ascii="宋体" w:hAnsi="宋体"/>
                <w:b/>
                <w:bCs/>
              </w:rPr>
              <w:t>▲3、供应商应采取合理措施保障服务的安全性，自愿承担一切风险和责任。如因检测中可能遭受的任何纠纷或损失应当由供应商承担全部责任。</w:t>
            </w:r>
          </w:p>
          <w:p>
            <w:pPr>
              <w:autoSpaceDE w:val="0"/>
              <w:autoSpaceDN w:val="0"/>
              <w:adjustRightInd w:val="0"/>
              <w:spacing w:line="360" w:lineRule="auto"/>
              <w:jc w:val="left"/>
              <w:rPr>
                <w:rFonts w:ascii="宋体" w:hAnsi="宋体"/>
                <w:b/>
                <w:bCs/>
              </w:rPr>
            </w:pPr>
            <w:r>
              <w:rPr>
                <w:rFonts w:hint="eastAsia" w:ascii="宋体" w:hAnsi="宋体"/>
                <w:b/>
                <w:bCs/>
              </w:rPr>
              <w:t>▲4、供应商应充分考虑供货成本及参数要求再进行报价，如供应商低价恶意竞价、且成交后无法按要求提供货物或者所供货物及资质要求无法满足参数要求的，采购人将按虚假竞标处理，并保留因耽误采购人使用时间造成的损失进行赔偿的权利，通过报备政采云平台及财政厅监管部门，并按规定对投标人公司予以处罚和进行网上通报处理，追究投标人的法律责任，由此引发的一切后果由投标人承担。</w:t>
            </w:r>
          </w:p>
        </w:tc>
      </w:tr>
    </w:tbl>
    <w:p>
      <w:pPr>
        <w:pStyle w:val="9"/>
        <w:widowControl/>
        <w:spacing w:after="452" w:line="555" w:lineRule="atLeast"/>
        <w:rPr>
          <w:rStyle w:val="14"/>
          <w:rFonts w:ascii="黑体" w:hAnsi="宋体" w:eastAsia="黑体" w:cs="黑体"/>
          <w:color w:val="333333"/>
          <w:sz w:val="28"/>
          <w:szCs w:val="2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Mjk1YTBjZTgxMDY2MGY0Njg4NGM1MjE5ZjUwZTAifQ=="/>
  </w:docVars>
  <w:rsids>
    <w:rsidRoot w:val="52D653D6"/>
    <w:rsid w:val="00002994"/>
    <w:rsid w:val="000102D3"/>
    <w:rsid w:val="0001736C"/>
    <w:rsid w:val="00021BD6"/>
    <w:rsid w:val="000408C1"/>
    <w:rsid w:val="00047C0E"/>
    <w:rsid w:val="00056B5E"/>
    <w:rsid w:val="000808B9"/>
    <w:rsid w:val="00082409"/>
    <w:rsid w:val="00082EF6"/>
    <w:rsid w:val="00087E6F"/>
    <w:rsid w:val="00092BBF"/>
    <w:rsid w:val="000953D5"/>
    <w:rsid w:val="000A3D19"/>
    <w:rsid w:val="000A5D39"/>
    <w:rsid w:val="000C4E31"/>
    <w:rsid w:val="000E64E3"/>
    <w:rsid w:val="0010348A"/>
    <w:rsid w:val="00110A81"/>
    <w:rsid w:val="00127AFC"/>
    <w:rsid w:val="00133620"/>
    <w:rsid w:val="00150216"/>
    <w:rsid w:val="00156346"/>
    <w:rsid w:val="0017414C"/>
    <w:rsid w:val="001B37D8"/>
    <w:rsid w:val="001C0A0B"/>
    <w:rsid w:val="001C5E3E"/>
    <w:rsid w:val="001D0CC4"/>
    <w:rsid w:val="001D3CF7"/>
    <w:rsid w:val="001D40D9"/>
    <w:rsid w:val="001F1305"/>
    <w:rsid w:val="00204020"/>
    <w:rsid w:val="002310AC"/>
    <w:rsid w:val="00232C58"/>
    <w:rsid w:val="00253977"/>
    <w:rsid w:val="002562E1"/>
    <w:rsid w:val="00266758"/>
    <w:rsid w:val="0027639E"/>
    <w:rsid w:val="002A648D"/>
    <w:rsid w:val="002C48D1"/>
    <w:rsid w:val="00312577"/>
    <w:rsid w:val="00351A5E"/>
    <w:rsid w:val="003D1DCB"/>
    <w:rsid w:val="003D7CA4"/>
    <w:rsid w:val="00401437"/>
    <w:rsid w:val="004071AF"/>
    <w:rsid w:val="0040787D"/>
    <w:rsid w:val="004167FA"/>
    <w:rsid w:val="00431E0E"/>
    <w:rsid w:val="00435453"/>
    <w:rsid w:val="00474A3B"/>
    <w:rsid w:val="0048288D"/>
    <w:rsid w:val="0048565F"/>
    <w:rsid w:val="004D446A"/>
    <w:rsid w:val="004D6593"/>
    <w:rsid w:val="004E3B7E"/>
    <w:rsid w:val="004E5F3B"/>
    <w:rsid w:val="005166BE"/>
    <w:rsid w:val="0052249A"/>
    <w:rsid w:val="00547DDF"/>
    <w:rsid w:val="0055287B"/>
    <w:rsid w:val="005650B2"/>
    <w:rsid w:val="005C6D2A"/>
    <w:rsid w:val="005E1921"/>
    <w:rsid w:val="005E4818"/>
    <w:rsid w:val="005E4C14"/>
    <w:rsid w:val="005E4ECB"/>
    <w:rsid w:val="00603052"/>
    <w:rsid w:val="006128DF"/>
    <w:rsid w:val="00624C0D"/>
    <w:rsid w:val="00651D11"/>
    <w:rsid w:val="00660F53"/>
    <w:rsid w:val="00681F69"/>
    <w:rsid w:val="006A4493"/>
    <w:rsid w:val="006C62A8"/>
    <w:rsid w:val="006D028E"/>
    <w:rsid w:val="006D1F21"/>
    <w:rsid w:val="006E0179"/>
    <w:rsid w:val="006E297E"/>
    <w:rsid w:val="006E3CF1"/>
    <w:rsid w:val="006E6C19"/>
    <w:rsid w:val="00710C8F"/>
    <w:rsid w:val="007270EA"/>
    <w:rsid w:val="00733E15"/>
    <w:rsid w:val="0075181E"/>
    <w:rsid w:val="007828C7"/>
    <w:rsid w:val="007942C7"/>
    <w:rsid w:val="007A4C72"/>
    <w:rsid w:val="007B21E3"/>
    <w:rsid w:val="007B4626"/>
    <w:rsid w:val="007C409B"/>
    <w:rsid w:val="007C5205"/>
    <w:rsid w:val="00801CC6"/>
    <w:rsid w:val="0080519D"/>
    <w:rsid w:val="00830BFD"/>
    <w:rsid w:val="00835CD1"/>
    <w:rsid w:val="00853064"/>
    <w:rsid w:val="00857045"/>
    <w:rsid w:val="00871030"/>
    <w:rsid w:val="008B090F"/>
    <w:rsid w:val="008D14DD"/>
    <w:rsid w:val="008D28D6"/>
    <w:rsid w:val="008E356A"/>
    <w:rsid w:val="008E6872"/>
    <w:rsid w:val="008F2BB9"/>
    <w:rsid w:val="00921188"/>
    <w:rsid w:val="009254E6"/>
    <w:rsid w:val="00933947"/>
    <w:rsid w:val="00954DF6"/>
    <w:rsid w:val="00973544"/>
    <w:rsid w:val="00976B0B"/>
    <w:rsid w:val="00980C1A"/>
    <w:rsid w:val="00991123"/>
    <w:rsid w:val="009A0E5A"/>
    <w:rsid w:val="009A4990"/>
    <w:rsid w:val="009E24CA"/>
    <w:rsid w:val="009E40CD"/>
    <w:rsid w:val="009E469C"/>
    <w:rsid w:val="00A173CF"/>
    <w:rsid w:val="00A25973"/>
    <w:rsid w:val="00A31597"/>
    <w:rsid w:val="00A82D07"/>
    <w:rsid w:val="00A86CD0"/>
    <w:rsid w:val="00A91344"/>
    <w:rsid w:val="00AC4CAC"/>
    <w:rsid w:val="00AC7DAE"/>
    <w:rsid w:val="00AD3300"/>
    <w:rsid w:val="00B07709"/>
    <w:rsid w:val="00B11EDA"/>
    <w:rsid w:val="00B12D00"/>
    <w:rsid w:val="00B17646"/>
    <w:rsid w:val="00B25E09"/>
    <w:rsid w:val="00B81F9C"/>
    <w:rsid w:val="00B86469"/>
    <w:rsid w:val="00B95E1D"/>
    <w:rsid w:val="00B96A3E"/>
    <w:rsid w:val="00BB058F"/>
    <w:rsid w:val="00BB208F"/>
    <w:rsid w:val="00BD325C"/>
    <w:rsid w:val="00BD4895"/>
    <w:rsid w:val="00BD6001"/>
    <w:rsid w:val="00BE601F"/>
    <w:rsid w:val="00BF406C"/>
    <w:rsid w:val="00BF531C"/>
    <w:rsid w:val="00C14009"/>
    <w:rsid w:val="00C30E63"/>
    <w:rsid w:val="00C671A9"/>
    <w:rsid w:val="00C75936"/>
    <w:rsid w:val="00C81107"/>
    <w:rsid w:val="00C92655"/>
    <w:rsid w:val="00CB26C2"/>
    <w:rsid w:val="00CE11B5"/>
    <w:rsid w:val="00CF4136"/>
    <w:rsid w:val="00CF77EF"/>
    <w:rsid w:val="00D13A3C"/>
    <w:rsid w:val="00D20611"/>
    <w:rsid w:val="00D24B5D"/>
    <w:rsid w:val="00D36B28"/>
    <w:rsid w:val="00D44D05"/>
    <w:rsid w:val="00D457A7"/>
    <w:rsid w:val="00D71E77"/>
    <w:rsid w:val="00D84986"/>
    <w:rsid w:val="00D9050C"/>
    <w:rsid w:val="00DC72FA"/>
    <w:rsid w:val="00DE3942"/>
    <w:rsid w:val="00DE62C0"/>
    <w:rsid w:val="00DF3090"/>
    <w:rsid w:val="00DF3C24"/>
    <w:rsid w:val="00E0409A"/>
    <w:rsid w:val="00E11FB9"/>
    <w:rsid w:val="00E12ED2"/>
    <w:rsid w:val="00E25AAB"/>
    <w:rsid w:val="00E44071"/>
    <w:rsid w:val="00E4439D"/>
    <w:rsid w:val="00E72E28"/>
    <w:rsid w:val="00EB7ADE"/>
    <w:rsid w:val="00EC277A"/>
    <w:rsid w:val="00EE293F"/>
    <w:rsid w:val="00EE355B"/>
    <w:rsid w:val="00EE6160"/>
    <w:rsid w:val="00EF299F"/>
    <w:rsid w:val="00EF6487"/>
    <w:rsid w:val="00F20CDC"/>
    <w:rsid w:val="00F24410"/>
    <w:rsid w:val="00F25E3C"/>
    <w:rsid w:val="00F26972"/>
    <w:rsid w:val="00F330CB"/>
    <w:rsid w:val="00F348C2"/>
    <w:rsid w:val="00F5062C"/>
    <w:rsid w:val="00F56375"/>
    <w:rsid w:val="00F73016"/>
    <w:rsid w:val="00F92D4B"/>
    <w:rsid w:val="00F94F4A"/>
    <w:rsid w:val="00FB02B1"/>
    <w:rsid w:val="00FB3DFA"/>
    <w:rsid w:val="00FD620A"/>
    <w:rsid w:val="0163247B"/>
    <w:rsid w:val="09287D76"/>
    <w:rsid w:val="09E37FB3"/>
    <w:rsid w:val="0A0F5BB5"/>
    <w:rsid w:val="0C93343B"/>
    <w:rsid w:val="0E6F05D1"/>
    <w:rsid w:val="0F074FAA"/>
    <w:rsid w:val="15333719"/>
    <w:rsid w:val="157A4E35"/>
    <w:rsid w:val="15A6480D"/>
    <w:rsid w:val="1608351E"/>
    <w:rsid w:val="1DF613D3"/>
    <w:rsid w:val="20A0716E"/>
    <w:rsid w:val="21E9568B"/>
    <w:rsid w:val="26A022EB"/>
    <w:rsid w:val="278E005D"/>
    <w:rsid w:val="288B42E2"/>
    <w:rsid w:val="2A771041"/>
    <w:rsid w:val="2FEC2936"/>
    <w:rsid w:val="30175C86"/>
    <w:rsid w:val="3038292B"/>
    <w:rsid w:val="33F53549"/>
    <w:rsid w:val="38290730"/>
    <w:rsid w:val="3BDC4EF4"/>
    <w:rsid w:val="41842ED7"/>
    <w:rsid w:val="41E80EEB"/>
    <w:rsid w:val="44E060C2"/>
    <w:rsid w:val="4708796F"/>
    <w:rsid w:val="47283916"/>
    <w:rsid w:val="4A8C26DF"/>
    <w:rsid w:val="4D237BB0"/>
    <w:rsid w:val="508F329F"/>
    <w:rsid w:val="52264F17"/>
    <w:rsid w:val="527B4618"/>
    <w:rsid w:val="52B813CD"/>
    <w:rsid w:val="52D653D6"/>
    <w:rsid w:val="58E50BA2"/>
    <w:rsid w:val="598B674F"/>
    <w:rsid w:val="5B8E2CD1"/>
    <w:rsid w:val="5D5E44AA"/>
    <w:rsid w:val="628F7431"/>
    <w:rsid w:val="67D866A0"/>
    <w:rsid w:val="6C28527F"/>
    <w:rsid w:val="6D6123F1"/>
    <w:rsid w:val="7357203A"/>
    <w:rsid w:val="75352A78"/>
    <w:rsid w:val="7835786E"/>
    <w:rsid w:val="7C2B051C"/>
    <w:rsid w:val="7CDA5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unhideWhenUsed/>
    <w:qFormat/>
    <w:uiPriority w:val="0"/>
    <w:pPr>
      <w:jc w:val="left"/>
      <w:outlineLvl w:val="3"/>
    </w:pPr>
    <w:rPr>
      <w:rFonts w:hint="eastAsia" w:ascii="宋体" w:hAnsi="宋体" w:eastAsia="宋体" w:cs="Times New Roman"/>
      <w:kern w:val="0"/>
      <w:sz w:val="24"/>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annotation text"/>
    <w:basedOn w:val="1"/>
    <w:link w:val="34"/>
    <w:unhideWhenUsed/>
    <w:qFormat/>
    <w:uiPriority w:val="0"/>
    <w:pPr>
      <w:jc w:val="left"/>
    </w:pPr>
  </w:style>
  <w:style w:type="paragraph" w:styleId="5">
    <w:name w:val="Plain Text"/>
    <w:basedOn w:val="1"/>
    <w:link w:val="31"/>
    <w:qFormat/>
    <w:uiPriority w:val="0"/>
    <w:rPr>
      <w:rFonts w:ascii="宋体" w:hAnsi="Courier New" w:eastAsia="宋体" w:cs="Courier New"/>
      <w:kern w:val="0"/>
      <w:sz w:val="20"/>
      <w:szCs w:val="21"/>
    </w:rPr>
  </w:style>
  <w:style w:type="paragraph" w:styleId="6">
    <w:name w:val="Balloon Text"/>
    <w:basedOn w:val="1"/>
    <w:link w:val="36"/>
    <w:unhideWhenUsed/>
    <w:qFormat/>
    <w:uiPriority w:val="0"/>
    <w:rPr>
      <w:sz w:val="18"/>
      <w:szCs w:val="18"/>
    </w:rPr>
  </w:style>
  <w:style w:type="paragraph" w:styleId="7">
    <w:name w:val="footer"/>
    <w:basedOn w:val="1"/>
    <w:link w:val="29"/>
    <w:qFormat/>
    <w:uiPriority w:val="99"/>
    <w:pPr>
      <w:tabs>
        <w:tab w:val="center" w:pos="4153"/>
        <w:tab w:val="right" w:pos="8306"/>
      </w:tabs>
      <w:snapToGrid w:val="0"/>
      <w:jc w:val="left"/>
    </w:pPr>
    <w:rPr>
      <w:sz w:val="18"/>
      <w:szCs w:val="18"/>
    </w:rPr>
  </w:style>
  <w:style w:type="paragraph" w:styleId="8">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jc w:val="left"/>
    </w:pPr>
    <w:rPr>
      <w:rFonts w:cs="Times New Roman"/>
      <w:kern w:val="0"/>
      <w:sz w:val="24"/>
    </w:rPr>
  </w:style>
  <w:style w:type="paragraph" w:styleId="10">
    <w:name w:val="annotation subject"/>
    <w:basedOn w:val="4"/>
    <w:next w:val="4"/>
    <w:link w:val="35"/>
    <w:unhideWhenUsed/>
    <w:qFormat/>
    <w:uiPriority w:val="0"/>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Acronym"/>
    <w:basedOn w:val="13"/>
    <w:qFormat/>
    <w:uiPriority w:val="0"/>
  </w:style>
  <w:style w:type="character" w:styleId="19">
    <w:name w:val="HTML Variable"/>
    <w:basedOn w:val="13"/>
    <w:qFormat/>
    <w:uiPriority w:val="0"/>
  </w:style>
  <w:style w:type="character" w:styleId="20">
    <w:name w:val="Hyperlink"/>
    <w:basedOn w:val="13"/>
    <w:qFormat/>
    <w:uiPriority w:val="0"/>
    <w:rPr>
      <w:color w:val="333333"/>
      <w:u w:val="none"/>
    </w:rPr>
  </w:style>
  <w:style w:type="character" w:styleId="21">
    <w:name w:val="HTML Code"/>
    <w:basedOn w:val="13"/>
    <w:qFormat/>
    <w:uiPriority w:val="0"/>
    <w:rPr>
      <w:rFonts w:ascii="Courier New" w:hAnsi="Courier New"/>
      <w:sz w:val="20"/>
    </w:rPr>
  </w:style>
  <w:style w:type="character" w:styleId="22">
    <w:name w:val="annotation reference"/>
    <w:basedOn w:val="13"/>
    <w:unhideWhenUsed/>
    <w:qFormat/>
    <w:uiPriority w:val="0"/>
    <w:rPr>
      <w:sz w:val="21"/>
      <w:szCs w:val="21"/>
    </w:rPr>
  </w:style>
  <w:style w:type="character" w:styleId="23">
    <w:name w:val="HTML Cite"/>
    <w:basedOn w:val="13"/>
    <w:qFormat/>
    <w:uiPriority w:val="0"/>
  </w:style>
  <w:style w:type="character" w:customStyle="1" w:styleId="24">
    <w:name w:val="current"/>
    <w:basedOn w:val="13"/>
    <w:qFormat/>
    <w:uiPriority w:val="0"/>
    <w:rPr>
      <w:b/>
      <w:bCs/>
      <w:color w:val="FFFFFF"/>
      <w:bdr w:val="single" w:color="7D6543" w:sz="6" w:space="0"/>
      <w:shd w:val="clear" w:color="auto" w:fill="7D6543"/>
    </w:rPr>
  </w:style>
  <w:style w:type="character" w:customStyle="1" w:styleId="25">
    <w:name w:val="disabled"/>
    <w:basedOn w:val="13"/>
    <w:qFormat/>
    <w:uiPriority w:val="0"/>
    <w:rPr>
      <w:color w:val="999999"/>
      <w:bdr w:val="single" w:color="C5C5C5" w:sz="6" w:space="0"/>
    </w:rPr>
  </w:style>
  <w:style w:type="character" w:customStyle="1" w:styleId="26">
    <w:name w:val="font11"/>
    <w:basedOn w:val="13"/>
    <w:qFormat/>
    <w:uiPriority w:val="0"/>
    <w:rPr>
      <w:rFonts w:hint="eastAsia" w:ascii="宋体" w:hAnsi="宋体" w:eastAsia="宋体" w:cs="宋体"/>
      <w:color w:val="000000"/>
      <w:sz w:val="24"/>
      <w:szCs w:val="24"/>
      <w:u w:val="none"/>
    </w:rPr>
  </w:style>
  <w:style w:type="character" w:customStyle="1" w:styleId="27">
    <w:name w:val="font31"/>
    <w:basedOn w:val="13"/>
    <w:qFormat/>
    <w:uiPriority w:val="0"/>
    <w:rPr>
      <w:rFonts w:hint="eastAsia" w:ascii="宋体" w:hAnsi="宋体" w:eastAsia="宋体" w:cs="宋体"/>
      <w:color w:val="000000"/>
      <w:sz w:val="24"/>
      <w:szCs w:val="24"/>
      <w:u w:val="none"/>
    </w:rPr>
  </w:style>
  <w:style w:type="character" w:customStyle="1" w:styleId="28">
    <w:name w:val="页眉 Char"/>
    <w:basedOn w:val="13"/>
    <w:link w:val="8"/>
    <w:qFormat/>
    <w:uiPriority w:val="99"/>
    <w:rPr>
      <w:rFonts w:asciiTheme="minorHAnsi" w:hAnsiTheme="minorHAnsi" w:eastAsiaTheme="minorEastAsia" w:cstheme="minorBidi"/>
      <w:kern w:val="2"/>
      <w:sz w:val="18"/>
      <w:szCs w:val="18"/>
    </w:rPr>
  </w:style>
  <w:style w:type="character" w:customStyle="1" w:styleId="29">
    <w:name w:val="页脚 Char"/>
    <w:basedOn w:val="13"/>
    <w:link w:val="7"/>
    <w:qFormat/>
    <w:uiPriority w:val="99"/>
    <w:rPr>
      <w:rFonts w:asciiTheme="minorHAnsi" w:hAnsiTheme="minorHAnsi" w:eastAsiaTheme="minorEastAsia" w:cstheme="minorBidi"/>
      <w:kern w:val="2"/>
      <w:sz w:val="18"/>
      <w:szCs w:val="18"/>
    </w:rPr>
  </w:style>
  <w:style w:type="paragraph" w:customStyle="1" w:styleId="30">
    <w:name w:val="列出段落1"/>
    <w:basedOn w:val="1"/>
    <w:unhideWhenUsed/>
    <w:qFormat/>
    <w:uiPriority w:val="99"/>
    <w:pPr>
      <w:ind w:firstLine="420" w:firstLineChars="200"/>
    </w:pPr>
  </w:style>
  <w:style w:type="character" w:customStyle="1" w:styleId="31">
    <w:name w:val="纯文本 Char"/>
    <w:basedOn w:val="13"/>
    <w:link w:val="5"/>
    <w:qFormat/>
    <w:uiPriority w:val="0"/>
    <w:rPr>
      <w:rFonts w:ascii="宋体" w:hAnsi="Courier New" w:cs="Courier New"/>
      <w:szCs w:val="21"/>
    </w:rPr>
  </w:style>
  <w:style w:type="paragraph" w:customStyle="1" w:styleId="32">
    <w:name w:val="无间隔1"/>
    <w:link w:val="33"/>
    <w:qFormat/>
    <w:uiPriority w:val="1"/>
    <w:rPr>
      <w:rFonts w:asciiTheme="minorHAnsi" w:hAnsiTheme="minorHAnsi" w:eastAsiaTheme="minorEastAsia" w:cstheme="minorBidi"/>
      <w:sz w:val="22"/>
      <w:szCs w:val="22"/>
      <w:lang w:val="en-US" w:eastAsia="zh-CN" w:bidi="ar-SA"/>
    </w:rPr>
  </w:style>
  <w:style w:type="character" w:customStyle="1" w:styleId="33">
    <w:name w:val="无间隔 Char"/>
    <w:basedOn w:val="13"/>
    <w:link w:val="32"/>
    <w:qFormat/>
    <w:uiPriority w:val="1"/>
    <w:rPr>
      <w:rFonts w:asciiTheme="minorHAnsi" w:hAnsiTheme="minorHAnsi" w:eastAsiaTheme="minorEastAsia" w:cstheme="minorBidi"/>
      <w:sz w:val="22"/>
      <w:szCs w:val="22"/>
    </w:rPr>
  </w:style>
  <w:style w:type="character" w:customStyle="1" w:styleId="34">
    <w:name w:val="批注文字 Char"/>
    <w:basedOn w:val="13"/>
    <w:link w:val="4"/>
    <w:semiHidden/>
    <w:qFormat/>
    <w:uiPriority w:val="0"/>
    <w:rPr>
      <w:rFonts w:asciiTheme="minorHAnsi" w:hAnsiTheme="minorHAnsi" w:eastAsiaTheme="minorEastAsia" w:cstheme="minorBidi"/>
      <w:kern w:val="2"/>
      <w:sz w:val="21"/>
      <w:szCs w:val="24"/>
    </w:rPr>
  </w:style>
  <w:style w:type="character" w:customStyle="1" w:styleId="35">
    <w:name w:val="批注主题 Char"/>
    <w:basedOn w:val="34"/>
    <w:link w:val="10"/>
    <w:semiHidden/>
    <w:qFormat/>
    <w:uiPriority w:val="0"/>
    <w:rPr>
      <w:rFonts w:asciiTheme="minorHAnsi" w:hAnsiTheme="minorHAnsi" w:eastAsiaTheme="minorEastAsia" w:cstheme="minorBidi"/>
      <w:b/>
      <w:bCs/>
      <w:kern w:val="2"/>
      <w:sz w:val="21"/>
      <w:szCs w:val="24"/>
    </w:rPr>
  </w:style>
  <w:style w:type="character" w:customStyle="1" w:styleId="36">
    <w:name w:val="批注框文本 Char"/>
    <w:basedOn w:val="13"/>
    <w:link w:val="6"/>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DE2B7-C2ED-46FF-8FFB-057EE05C954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7522</Words>
  <Characters>8368</Characters>
  <Lines>61</Lines>
  <Paragraphs>17</Paragraphs>
  <TotalTime>1</TotalTime>
  <ScaleCrop>false</ScaleCrop>
  <LinksUpToDate>false</LinksUpToDate>
  <CharactersWithSpaces>8445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2022-01-12T07:29:00Z</dcterms:created>
  <dc:creator>Administrator</dc:creator>
  <cp:lastModifiedBy>广西国际壮医医院梁亮</cp:lastModifiedBy>
  <cp:lastPrinted>2021-12-09T07:52:00Z</cp:lastPrinted>
  <dcterms:modified xsi:type="dcterms:W3CDTF">2023-06-12T03:41:47Z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19CE6C4B7F8A43C7981FA066754F118C</vt:lpwstr>
  </property>
</Properties>
</file>