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D2796">
      <w:pPr>
        <w:pStyle w:val="2"/>
        <w:widowControl/>
        <w:spacing w:beforeAutospacing="0" w:afterAutospacing="0" w:line="360" w:lineRule="auto"/>
        <w:jc w:val="center"/>
        <w:rPr>
          <w:rFonts w:hint="default" w:ascii="Times New Roman" w:hAnsi="Times New Roman" w:eastAsia="仿宋"/>
          <w:bCs/>
          <w:sz w:val="36"/>
          <w:szCs w:val="48"/>
        </w:rPr>
      </w:pPr>
      <w:bookmarkStart w:id="0" w:name="_GoBack"/>
      <w:r>
        <w:rPr>
          <w:rFonts w:ascii="Times New Roman" w:hAnsi="Times New Roman" w:eastAsia="仿宋"/>
          <w:bCs/>
          <w:sz w:val="36"/>
          <w:szCs w:val="48"/>
        </w:rPr>
        <w:t>关于组织申报</w:t>
      </w:r>
      <w:r>
        <w:rPr>
          <w:rFonts w:hint="eastAsia" w:ascii="Times New Roman" w:hAnsi="Times New Roman" w:eastAsia="仿宋"/>
          <w:bCs/>
          <w:sz w:val="36"/>
          <w:szCs w:val="48"/>
        </w:rPr>
        <w:t>2024年自治区农业农村厅主责广西科技计划项目</w:t>
      </w:r>
      <w:r>
        <w:rPr>
          <w:rFonts w:ascii="Times New Roman" w:hAnsi="Times New Roman" w:eastAsia="仿宋"/>
          <w:bCs/>
          <w:sz w:val="36"/>
          <w:szCs w:val="48"/>
        </w:rPr>
        <w:t>的通知</w:t>
      </w:r>
    </w:p>
    <w:bookmarkEnd w:id="0"/>
    <w:p w14:paraId="0D548AA2"/>
    <w:p w14:paraId="456AF19D">
      <w:pPr>
        <w:pStyle w:val="3"/>
        <w:widowControl/>
        <w:spacing w:beforeAutospacing="0" w:afterAutospacing="0" w:line="360" w:lineRule="auto"/>
        <w:rPr>
          <w:rFonts w:ascii="Times New Roman" w:hAnsi="Times New Roman" w:eastAsia="仿宋" w:cstheme="minorBidi"/>
          <w:kern w:val="2"/>
          <w:sz w:val="28"/>
          <w:szCs w:val="21"/>
        </w:rPr>
      </w:pPr>
      <w:r>
        <w:rPr>
          <w:rFonts w:hint="eastAsia" w:ascii="Times New Roman" w:hAnsi="Times New Roman" w:eastAsia="仿宋" w:cstheme="minorBidi"/>
          <w:kern w:val="2"/>
          <w:sz w:val="28"/>
          <w:szCs w:val="21"/>
        </w:rPr>
        <w:t>各单位、部门：</w:t>
      </w:r>
    </w:p>
    <w:p w14:paraId="5E1F4409">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ascii="Times New Roman" w:hAnsi="Times New Roman" w:eastAsia="仿宋"/>
          <w:sz w:val="28"/>
          <w:szCs w:val="21"/>
        </w:rPr>
      </w:pPr>
      <w:r>
        <w:rPr>
          <w:rFonts w:hint="eastAsia" w:ascii="Times New Roman" w:hAnsi="Times New Roman" w:eastAsia="仿宋"/>
          <w:sz w:val="28"/>
          <w:szCs w:val="21"/>
        </w:rPr>
        <w:t>《自治区农业农村厅关于发布自治区农业农村厅主责广西科技计划项目2024年申报指南的通知》已发布（</w:t>
      </w:r>
      <w:r>
        <w:rPr>
          <w:rFonts w:hint="eastAsia" w:ascii="Times New Roman" w:hAnsi="Times New Roman" w:eastAsia="仿宋"/>
          <w:sz w:val="28"/>
          <w:szCs w:val="21"/>
          <w:lang w:val="en-US" w:eastAsia="zh-CN"/>
        </w:rPr>
        <w:t>网址：http://nynct.gxzf.gov.cn/xxgk/jcxxgk/tzgg/t19231768.shtml</w:t>
      </w:r>
      <w:r>
        <w:rPr>
          <w:rFonts w:hint="eastAsia" w:ascii="Times New Roman" w:hAnsi="Times New Roman" w:eastAsia="仿宋"/>
          <w:sz w:val="28"/>
          <w:szCs w:val="21"/>
        </w:rPr>
        <w:t>），请各单位、部门组织职工积极申报，并审核申报资格、申报质量、前期研究成果的真实性、申请人及项目组的研究实力和必备条件等。</w:t>
      </w:r>
    </w:p>
    <w:p w14:paraId="560FEA38">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lang w:val="en-US" w:eastAsia="zh-CN"/>
        </w:rPr>
      </w:pPr>
      <w:r>
        <w:rPr>
          <w:rFonts w:hint="eastAsia" w:ascii="Times New Roman" w:hAnsi="Times New Roman" w:eastAsia="仿宋"/>
          <w:sz w:val="28"/>
          <w:szCs w:val="21"/>
        </w:rPr>
        <w:t>一、</w:t>
      </w:r>
      <w:r>
        <w:rPr>
          <w:rFonts w:hint="eastAsia" w:ascii="Times New Roman" w:hAnsi="Times New Roman" w:eastAsia="仿宋"/>
          <w:sz w:val="28"/>
          <w:szCs w:val="21"/>
          <w:lang w:val="en-US" w:eastAsia="zh-CN"/>
        </w:rPr>
        <w:t>申报要求</w:t>
      </w:r>
    </w:p>
    <w:p w14:paraId="3D7897B1">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sz w:val="28"/>
          <w:szCs w:val="21"/>
          <w:lang w:val="en-US" w:eastAsia="zh-CN"/>
        </w:rPr>
      </w:pPr>
      <w:r>
        <w:rPr>
          <w:rFonts w:hint="eastAsia" w:ascii="Times New Roman" w:hAnsi="Times New Roman" w:eastAsia="仿宋"/>
          <w:sz w:val="28"/>
          <w:szCs w:val="21"/>
          <w:lang w:val="en-US" w:eastAsia="zh-CN"/>
        </w:rPr>
        <w:t>详见</w:t>
      </w:r>
      <w:r>
        <w:rPr>
          <w:rFonts w:hint="default" w:ascii="Times New Roman" w:hAnsi="Times New Roman" w:eastAsia="仿宋"/>
          <w:sz w:val="28"/>
          <w:szCs w:val="21"/>
          <w:lang w:val="en-US" w:eastAsia="zh-CN"/>
        </w:rPr>
        <w:t>申报须知</w:t>
      </w:r>
      <w:r>
        <w:rPr>
          <w:rFonts w:hint="eastAsia" w:ascii="Times New Roman" w:hAnsi="Times New Roman" w:eastAsia="仿宋"/>
          <w:sz w:val="28"/>
          <w:szCs w:val="21"/>
          <w:lang w:val="en-US" w:eastAsia="zh-CN"/>
        </w:rPr>
        <w:t>、申报指南（附件1，2）。</w:t>
      </w:r>
    </w:p>
    <w:p w14:paraId="47E5D5A8">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lang w:eastAsia="zh-CN"/>
        </w:rPr>
      </w:pPr>
      <w:r>
        <w:rPr>
          <w:rFonts w:hint="eastAsia" w:ascii="Times New Roman" w:hAnsi="Times New Roman" w:eastAsia="仿宋"/>
          <w:sz w:val="28"/>
          <w:szCs w:val="21"/>
          <w:lang w:val="en-US" w:eastAsia="zh-CN"/>
        </w:rPr>
        <w:t>二</w:t>
      </w:r>
      <w:r>
        <w:rPr>
          <w:rFonts w:hint="eastAsia" w:ascii="Times New Roman" w:hAnsi="Times New Roman" w:eastAsia="仿宋"/>
          <w:sz w:val="28"/>
          <w:szCs w:val="21"/>
        </w:rPr>
        <w:t>、申报</w:t>
      </w:r>
      <w:r>
        <w:rPr>
          <w:rFonts w:hint="eastAsia" w:ascii="Times New Roman" w:hAnsi="Times New Roman" w:eastAsia="仿宋"/>
          <w:sz w:val="28"/>
          <w:szCs w:val="21"/>
          <w:lang w:val="en-US" w:eastAsia="zh-CN"/>
        </w:rPr>
        <w:t>流程</w:t>
      </w:r>
    </w:p>
    <w:p w14:paraId="39971EED">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lang w:val="en-US" w:eastAsia="zh-CN"/>
        </w:rPr>
      </w:pPr>
      <w:r>
        <w:rPr>
          <w:rFonts w:hint="eastAsia" w:ascii="Times New Roman" w:hAnsi="Times New Roman" w:eastAsia="仿宋"/>
          <w:sz w:val="28"/>
          <w:szCs w:val="21"/>
          <w:lang w:val="en-US" w:eastAsia="zh-CN"/>
        </w:rPr>
        <w:t>项目通过广西科技管理信息平台（http://gkg.kjt.gxzf.gov.cn，以下统称系统）进行申报及提交有关材料，系统具体开通时间如下：</w:t>
      </w:r>
    </w:p>
    <w:p w14:paraId="7C29251F">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lang w:val="en-US" w:eastAsia="zh-CN"/>
        </w:rPr>
      </w:pPr>
      <w:r>
        <w:rPr>
          <w:rFonts w:hint="eastAsia" w:ascii="Times New Roman" w:hAnsi="Times New Roman" w:eastAsia="仿宋"/>
          <w:sz w:val="28"/>
          <w:szCs w:val="21"/>
          <w:lang w:val="en-US" w:eastAsia="zh-CN"/>
        </w:rPr>
        <w:t>（一）糖料蔗专项。申报系统于2024年11月1日8:00正式开通，在系统上提交申报书至项目管理机构的截止时间为2024年11月10日18:00（以系统上推荐单位推荐的时间为准），申报单位和推荐单位应在规定时间内完成申报和推荐，申报时间截止后申报系统准时关闭。项目管理机构对申报材料一次性形式审查的截止时间为2024年11月13日18:00，未能通过一次性形式审查的项目须在11月15日18:00前一次性完成补正（以系统上推荐单位推荐的时间为准），所有项目须于11月18日18:00前在系统加盖电子签章，逾期视为放弃本次申报。</w:t>
      </w:r>
    </w:p>
    <w:p w14:paraId="4C59C4CA">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lang w:val="en-US" w:eastAsia="zh-CN"/>
        </w:rPr>
      </w:pPr>
      <w:r>
        <w:rPr>
          <w:rFonts w:hint="eastAsia" w:ascii="Times New Roman" w:hAnsi="Times New Roman" w:eastAsia="仿宋"/>
          <w:sz w:val="28"/>
          <w:szCs w:val="21"/>
          <w:lang w:val="en-US" w:eastAsia="zh-CN"/>
        </w:rPr>
        <w:t>（二）其他方向（重点专项及面上项目）。申报系统于2024年11月18日8:00正式开通，在系统上提交申报书至项目管理机构的截止时间为2024年12月18日18:00（以系统上推荐单位推荐的时间为准），申报单位和推荐单位应在规定时间内完成申报和推荐，申报时间截止后申报系统准时关闭。项目管理机构对申报材料一次性形式审查的截止时间为2024年12月23日18:00，未能通过一次性形式审查的项目须在12月25日18:00前一次性完成补正（以系统上推荐单位推荐的时间为准），所有项目须于12月27日18:00前在系统加盖电子签章，逾期视为放弃本次申报。</w:t>
      </w:r>
    </w:p>
    <w:p w14:paraId="7FAA7C85">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Times New Roman" w:hAnsi="Times New Roman" w:eastAsia="仿宋"/>
          <w:b/>
          <w:bCs/>
          <w:sz w:val="28"/>
          <w:szCs w:val="21"/>
          <w:lang w:val="en-US" w:eastAsia="zh-CN"/>
        </w:rPr>
      </w:pPr>
      <w:r>
        <w:rPr>
          <w:rFonts w:hint="eastAsia" w:ascii="Times New Roman" w:hAnsi="Times New Roman" w:eastAsia="仿宋"/>
          <w:b/>
          <w:bCs/>
          <w:sz w:val="28"/>
          <w:szCs w:val="21"/>
          <w:lang w:val="en-US" w:eastAsia="zh-CN"/>
        </w:rPr>
        <w:t>请申报人提前通过oa办理合作协议用印手续，涉及科研伦理审查的联系相关部门办理。学校初次提交申报书形式审查的时间为12月13日16:00；最终报送申报书的时间为2024年12月18日8:00。逾期不予受理。</w:t>
      </w:r>
    </w:p>
    <w:p w14:paraId="53F01459">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sz w:val="28"/>
          <w:szCs w:val="21"/>
          <w:lang w:val="en-US" w:eastAsia="zh-CN"/>
        </w:rPr>
      </w:pPr>
      <w:r>
        <w:rPr>
          <w:rFonts w:hint="default" w:ascii="Times New Roman" w:hAnsi="Times New Roman" w:eastAsia="仿宋"/>
          <w:sz w:val="28"/>
          <w:szCs w:val="21"/>
          <w:lang w:val="en-US" w:eastAsia="zh-CN"/>
        </w:rPr>
        <w:t>医学伦理审查联系人及联系方式</w:t>
      </w:r>
      <w:r>
        <w:rPr>
          <w:rFonts w:hint="eastAsia" w:ascii="Times New Roman" w:hAnsi="Times New Roman" w:eastAsia="仿宋"/>
          <w:sz w:val="28"/>
          <w:szCs w:val="21"/>
          <w:lang w:val="en-US" w:eastAsia="zh-CN"/>
        </w:rPr>
        <w:t>：</w:t>
      </w:r>
      <w:r>
        <w:rPr>
          <w:rFonts w:hint="default" w:ascii="Times New Roman" w:hAnsi="Times New Roman" w:eastAsia="仿宋"/>
          <w:sz w:val="28"/>
          <w:szCs w:val="21"/>
          <w:lang w:val="en-US" w:eastAsia="zh-CN"/>
        </w:rPr>
        <w:t>杨洋，0771-4733943。</w:t>
      </w:r>
    </w:p>
    <w:p w14:paraId="2159511A">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lang w:val="en-US" w:eastAsia="zh-CN"/>
        </w:rPr>
      </w:pPr>
      <w:r>
        <w:rPr>
          <w:rFonts w:hint="default" w:ascii="Times New Roman" w:hAnsi="Times New Roman" w:eastAsia="仿宋"/>
          <w:sz w:val="28"/>
          <w:szCs w:val="21"/>
          <w:lang w:val="en-US" w:eastAsia="zh-CN"/>
        </w:rPr>
        <w:t>动物伦理审查联系人及联系方式：曹颖颖</w:t>
      </w:r>
      <w:r>
        <w:rPr>
          <w:rFonts w:hint="eastAsia" w:ascii="Times New Roman" w:hAnsi="Times New Roman" w:eastAsia="仿宋"/>
          <w:sz w:val="28"/>
          <w:szCs w:val="21"/>
          <w:lang w:val="en-US" w:eastAsia="zh-CN"/>
        </w:rPr>
        <w:t>，</w:t>
      </w:r>
      <w:r>
        <w:rPr>
          <w:rFonts w:hint="default" w:ascii="Times New Roman" w:hAnsi="Times New Roman" w:eastAsia="仿宋"/>
          <w:sz w:val="28"/>
          <w:szCs w:val="21"/>
          <w:lang w:val="en-US" w:eastAsia="zh-CN"/>
        </w:rPr>
        <w:t>13978856205</w:t>
      </w:r>
      <w:r>
        <w:rPr>
          <w:rFonts w:hint="eastAsia" w:ascii="Times New Roman" w:hAnsi="Times New Roman" w:eastAsia="仿宋"/>
          <w:sz w:val="28"/>
          <w:szCs w:val="21"/>
          <w:lang w:val="en-US" w:eastAsia="zh-CN"/>
        </w:rPr>
        <w:t>。</w:t>
      </w:r>
    </w:p>
    <w:p w14:paraId="1A4A4F1F">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sz w:val="28"/>
          <w:szCs w:val="21"/>
          <w:lang w:val="en-US" w:eastAsia="zh-CN"/>
        </w:rPr>
      </w:pPr>
      <w:r>
        <w:rPr>
          <w:rFonts w:hint="eastAsia" w:ascii="Times New Roman" w:hAnsi="Times New Roman" w:eastAsia="仿宋"/>
          <w:sz w:val="28"/>
          <w:szCs w:val="21"/>
          <w:lang w:val="en-US" w:eastAsia="zh-CN"/>
        </w:rPr>
        <w:t>生物安全审查联系人及联系方式：刘显，0771-3941063。</w:t>
      </w:r>
    </w:p>
    <w:p w14:paraId="7DE66CF1">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lang w:val="en-US" w:eastAsia="zh-CN"/>
        </w:rPr>
      </w:pPr>
      <w:r>
        <w:rPr>
          <w:rFonts w:hint="eastAsia" w:ascii="Times New Roman" w:hAnsi="Times New Roman" w:eastAsia="仿宋"/>
          <w:sz w:val="28"/>
          <w:szCs w:val="21"/>
          <w:lang w:val="en-US" w:eastAsia="zh-CN"/>
        </w:rPr>
        <w:t>三、组织申报的推荐单位</w:t>
      </w:r>
    </w:p>
    <w:p w14:paraId="1AE5BBB9">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lang w:val="en-US" w:eastAsia="zh-CN"/>
        </w:rPr>
      </w:pPr>
      <w:r>
        <w:rPr>
          <w:rFonts w:hint="eastAsia" w:ascii="Times New Roman" w:hAnsi="Times New Roman" w:eastAsia="仿宋"/>
          <w:sz w:val="28"/>
          <w:szCs w:val="21"/>
          <w:lang w:val="en-US" w:eastAsia="zh-CN"/>
        </w:rPr>
        <w:t>推荐单位选择</w:t>
      </w:r>
      <w:r>
        <w:rPr>
          <w:rFonts w:hint="eastAsia" w:ascii="Times New Roman" w:hAnsi="Times New Roman" w:eastAsia="仿宋"/>
          <w:b/>
          <w:bCs/>
          <w:sz w:val="28"/>
          <w:szCs w:val="21"/>
          <w:lang w:val="en-US" w:eastAsia="zh-CN"/>
        </w:rPr>
        <w:t>广西中医药大学</w:t>
      </w:r>
      <w:r>
        <w:rPr>
          <w:rFonts w:hint="eastAsia" w:ascii="Times New Roman" w:hAnsi="Times New Roman" w:eastAsia="仿宋"/>
          <w:sz w:val="28"/>
          <w:szCs w:val="21"/>
          <w:lang w:val="en-US" w:eastAsia="zh-CN"/>
        </w:rPr>
        <w:t>。原则上，针对同一指南方向中同一研究内容的只能推荐</w:t>
      </w:r>
      <w:r>
        <w:rPr>
          <w:rFonts w:hint="eastAsia" w:ascii="Times New Roman" w:hAnsi="Times New Roman" w:eastAsia="仿宋"/>
          <w:b/>
          <w:bCs/>
          <w:sz w:val="28"/>
          <w:szCs w:val="21"/>
          <w:lang w:val="en-US" w:eastAsia="zh-CN"/>
        </w:rPr>
        <w:t>1个</w:t>
      </w:r>
      <w:r>
        <w:rPr>
          <w:rFonts w:hint="eastAsia" w:ascii="Times New Roman" w:hAnsi="Times New Roman" w:eastAsia="仿宋"/>
          <w:sz w:val="28"/>
          <w:szCs w:val="21"/>
          <w:lang w:val="en-US" w:eastAsia="zh-CN"/>
        </w:rPr>
        <w:t>项目进行申报。</w:t>
      </w:r>
    </w:p>
    <w:p w14:paraId="76C84B81">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rPr>
      </w:pPr>
      <w:r>
        <w:rPr>
          <w:rFonts w:hint="eastAsia" w:ascii="Times New Roman" w:hAnsi="Times New Roman" w:eastAsia="仿宋"/>
          <w:sz w:val="28"/>
          <w:szCs w:val="21"/>
        </w:rPr>
        <w:t>四、相关要求</w:t>
      </w:r>
    </w:p>
    <w:p w14:paraId="1FB947B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rPr>
      </w:pPr>
      <w:r>
        <w:rPr>
          <w:rFonts w:hint="eastAsia" w:ascii="Times New Roman" w:hAnsi="Times New Roman" w:eastAsia="仿宋"/>
          <w:sz w:val="28"/>
          <w:szCs w:val="21"/>
        </w:rPr>
        <w:t>（一）项目申报单位的同一项目只能通过单个渠道申报，不得多头申报和重复申报。</w:t>
      </w:r>
    </w:p>
    <w:p w14:paraId="09D3234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rPr>
      </w:pPr>
      <w:r>
        <w:rPr>
          <w:rFonts w:hint="eastAsia" w:ascii="Times New Roman" w:hAnsi="Times New Roman" w:eastAsia="仿宋"/>
          <w:sz w:val="28"/>
          <w:szCs w:val="21"/>
        </w:rPr>
        <w:t>（二）为强化项目绩效评价，请申报单位认真填报项目预期成果及直接经济效益，填报内容将作为项目立项评审的重要考量，无产出的相应成果指标填写“0”，不能留空，对未填报预期成果及直接经济效益的项目申报书不予受理。有直接经济效益的项目，在项目可行性研究报告的经济效益分析中，应详细写明经济效益的构成及每个构成部分的计算或折算方式，作为立项项目结题验收依据。</w:t>
      </w:r>
    </w:p>
    <w:p w14:paraId="1BD013E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rPr>
      </w:pPr>
      <w:r>
        <w:rPr>
          <w:rFonts w:hint="eastAsia" w:ascii="Times New Roman" w:hAnsi="Times New Roman" w:eastAsia="仿宋"/>
          <w:sz w:val="28"/>
          <w:szCs w:val="21"/>
        </w:rPr>
        <w:t>（三）为强化项目承担单位使用和管理好项目财政结余资金的主体责任，项目申报单位在项目经费管理方面要有独立的财务制度和内容制度，要有独立的管理办法或独立法规章节规定结余经费管理内容（须在项目申报时提供），且须符合《关于改革完善广西壮族自治区本级财政科研经费管理的实施意见》（桂财教〔2021〕170号）等有关规定和财经纪律。</w:t>
      </w:r>
    </w:p>
    <w:p w14:paraId="7DA4746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rPr>
      </w:pPr>
      <w:r>
        <w:rPr>
          <w:rFonts w:hint="eastAsia" w:ascii="Times New Roman" w:hAnsi="Times New Roman" w:eastAsia="仿宋"/>
          <w:sz w:val="28"/>
          <w:szCs w:val="21"/>
        </w:rPr>
        <w:t>（四）为避免临近申报截止时间网络拥堵，建议申报单位适当提前、错峰提交申报书，并提醒相关推荐单位（或依托单位）及时审核推荐。</w:t>
      </w:r>
    </w:p>
    <w:p w14:paraId="3521269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rPr>
      </w:pPr>
      <w:r>
        <w:rPr>
          <w:rFonts w:hint="eastAsia" w:ascii="Times New Roman" w:hAnsi="Times New Roman" w:eastAsia="仿宋"/>
          <w:sz w:val="28"/>
          <w:szCs w:val="21"/>
        </w:rPr>
        <w:t>（五）若无特殊要求，原则上本批次项目以前资助（一次性资助或按年度滚动资助）或自筹的形式进行资助。</w:t>
      </w:r>
    </w:p>
    <w:p w14:paraId="15E6969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rPr>
      </w:pPr>
      <w:r>
        <w:rPr>
          <w:rFonts w:hint="eastAsia" w:ascii="Times New Roman" w:hAnsi="Times New Roman" w:eastAsia="仿宋"/>
          <w:sz w:val="28"/>
          <w:szCs w:val="21"/>
        </w:rPr>
        <w:t>（六）实施周期在3年以上的项目需要在“项目过程管理考核指标”中设置“里程碑式”中期考核指标，由专业机构对项目实施情况进行中期检查，中期检查结果将报送自治区农业农村厅并作为项目调整或者撤销的重要依据。</w:t>
      </w:r>
    </w:p>
    <w:p w14:paraId="3A63338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rPr>
      </w:pPr>
      <w:r>
        <w:rPr>
          <w:rFonts w:hint="eastAsia" w:ascii="Times New Roman" w:hAnsi="Times New Roman" w:eastAsia="仿宋"/>
          <w:sz w:val="28"/>
          <w:szCs w:val="21"/>
        </w:rPr>
        <w:t>（七）其他具体申报组织工作流程以及资格要求等内容见附件。</w:t>
      </w:r>
    </w:p>
    <w:p w14:paraId="1975F7C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Times New Roman" w:hAnsi="Times New Roman" w:eastAsia="仿宋"/>
          <w:sz w:val="28"/>
          <w:szCs w:val="21"/>
        </w:rPr>
      </w:pPr>
      <w:r>
        <w:rPr>
          <w:rFonts w:hint="eastAsia" w:ascii="Times New Roman" w:hAnsi="Times New Roman" w:eastAsia="仿宋"/>
          <w:sz w:val="28"/>
          <w:szCs w:val="21"/>
          <w:lang w:val="en-US" w:eastAsia="zh-CN"/>
        </w:rPr>
        <w:t>五</w:t>
      </w:r>
      <w:r>
        <w:rPr>
          <w:rFonts w:hint="eastAsia" w:ascii="Times New Roman" w:hAnsi="Times New Roman" w:eastAsia="仿宋"/>
          <w:sz w:val="28"/>
          <w:szCs w:val="21"/>
        </w:rPr>
        <w:t>、联系方式</w:t>
      </w:r>
    </w:p>
    <w:p w14:paraId="02AAC99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Times New Roman" w:hAnsi="Times New Roman" w:eastAsia="仿宋"/>
          <w:sz w:val="28"/>
          <w:szCs w:val="21"/>
        </w:rPr>
      </w:pPr>
      <w:r>
        <w:rPr>
          <w:rFonts w:hint="eastAsia" w:ascii="Times New Roman" w:hAnsi="Times New Roman" w:eastAsia="仿宋"/>
          <w:sz w:val="28"/>
          <w:szCs w:val="21"/>
        </w:rPr>
        <w:t>未尽事宜，请申请人先联系所在单位、部门的科管人员。确无法解决的问题，可联系学校科技处、农业农村厅相关部门处理。</w:t>
      </w:r>
    </w:p>
    <w:p w14:paraId="1CB6360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Times New Roman" w:hAnsi="Times New Roman" w:eastAsia="仿宋"/>
          <w:sz w:val="28"/>
          <w:szCs w:val="21"/>
        </w:rPr>
      </w:pPr>
      <w:r>
        <w:rPr>
          <w:rFonts w:hint="eastAsia" w:ascii="Times New Roman" w:hAnsi="Times New Roman" w:eastAsia="仿宋"/>
          <w:sz w:val="28"/>
          <w:szCs w:val="21"/>
        </w:rPr>
        <w:t>学校科技处联系方式</w:t>
      </w:r>
    </w:p>
    <w:p w14:paraId="0FCBEC2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eastAsia="仿宋"/>
          <w:sz w:val="28"/>
          <w:szCs w:val="28"/>
          <w:lang w:eastAsia="zh-CN"/>
        </w:rPr>
      </w:pPr>
      <w:r>
        <w:rPr>
          <w:rFonts w:hint="eastAsia" w:ascii="Times New Roman" w:hAnsi="Times New Roman" w:eastAsia="仿宋"/>
          <w:sz w:val="28"/>
          <w:szCs w:val="28"/>
        </w:rPr>
        <w:t>联系人：刘显</w:t>
      </w:r>
    </w:p>
    <w:p w14:paraId="752658B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eastAsia="仿宋"/>
          <w:sz w:val="28"/>
          <w:szCs w:val="28"/>
          <w:lang w:eastAsia="zh-CN"/>
        </w:rPr>
      </w:pPr>
      <w:r>
        <w:rPr>
          <w:rFonts w:hint="eastAsia" w:ascii="Times New Roman" w:hAnsi="Times New Roman" w:eastAsia="仿宋"/>
          <w:sz w:val="28"/>
          <w:szCs w:val="28"/>
        </w:rPr>
        <w:t>联系电话：0771-3941063</w:t>
      </w:r>
    </w:p>
    <w:p w14:paraId="2D5F557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eastAsia="仿宋"/>
          <w:sz w:val="28"/>
          <w:szCs w:val="28"/>
          <w:lang w:eastAsia="zh-CN"/>
        </w:rPr>
      </w:pPr>
      <w:r>
        <w:rPr>
          <w:rFonts w:hint="eastAsia" w:ascii="Times New Roman" w:hAnsi="Times New Roman" w:eastAsia="仿宋"/>
          <w:sz w:val="28"/>
          <w:szCs w:val="28"/>
        </w:rPr>
        <w:t>联系地址：仙葫校区合德楼</w:t>
      </w:r>
      <w:r>
        <w:rPr>
          <w:rFonts w:ascii="Times New Roman" w:hAnsi="Times New Roman" w:eastAsia="仿宋"/>
          <w:sz w:val="28"/>
          <w:szCs w:val="28"/>
        </w:rPr>
        <w:t>313室</w:t>
      </w:r>
    </w:p>
    <w:p w14:paraId="372207D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ascii="Times New Roman" w:hAnsi="Times New Roman" w:eastAsia="仿宋"/>
          <w:sz w:val="28"/>
          <w:szCs w:val="28"/>
        </w:rPr>
      </w:pPr>
      <w:r>
        <w:rPr>
          <w:rFonts w:hint="eastAsia" w:ascii="Times New Roman" w:hAnsi="Times New Roman" w:eastAsia="仿宋"/>
          <w:sz w:val="28"/>
          <w:szCs w:val="21"/>
        </w:rPr>
        <w:t>联系</w:t>
      </w:r>
      <w:r>
        <w:rPr>
          <w:rFonts w:hint="eastAsia" w:ascii="Times New Roman" w:hAnsi="Times New Roman" w:eastAsia="仿宋"/>
          <w:sz w:val="28"/>
          <w:szCs w:val="28"/>
        </w:rPr>
        <w:t>邮箱：</w:t>
      </w:r>
      <w:r>
        <w:fldChar w:fldCharType="begin"/>
      </w:r>
      <w:r>
        <w:instrText xml:space="preserve"> HYPERLINK "mailto:kejichujihuake@163.com" </w:instrText>
      </w:r>
      <w:r>
        <w:fldChar w:fldCharType="separate"/>
      </w:r>
      <w:r>
        <w:rPr>
          <w:rStyle w:val="6"/>
          <w:rFonts w:ascii="Times New Roman" w:hAnsi="Times New Roman" w:eastAsia="仿宋"/>
          <w:color w:val="auto"/>
          <w:sz w:val="28"/>
          <w:szCs w:val="28"/>
        </w:rPr>
        <w:t>kejichujihuake@163.com</w:t>
      </w:r>
      <w:r>
        <w:rPr>
          <w:rStyle w:val="6"/>
          <w:rFonts w:ascii="Times New Roman" w:hAnsi="Times New Roman" w:eastAsia="仿宋"/>
          <w:color w:val="auto"/>
          <w:sz w:val="28"/>
          <w:szCs w:val="28"/>
        </w:rPr>
        <w:fldChar w:fldCharType="end"/>
      </w:r>
      <w:r>
        <w:rPr>
          <w:rFonts w:ascii="Times New Roman" w:hAnsi="Times New Roman" w:eastAsia="仿宋"/>
          <w:sz w:val="28"/>
          <w:szCs w:val="28"/>
        </w:rPr>
        <w:t>。</w:t>
      </w:r>
    </w:p>
    <w:p w14:paraId="68E6A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rPr>
      </w:pPr>
    </w:p>
    <w:p w14:paraId="040C1E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sz w:val="28"/>
          <w:szCs w:val="21"/>
        </w:rPr>
      </w:pPr>
    </w:p>
    <w:p w14:paraId="6A2D2AD3">
      <w:pPr>
        <w:spacing w:line="360" w:lineRule="auto"/>
        <w:ind w:firstLine="560" w:firstLineChars="200"/>
        <w:rPr>
          <w:rFonts w:ascii="Times New Roman" w:hAnsi="Times New Roman" w:eastAsia="仿宋"/>
          <w:sz w:val="28"/>
          <w:szCs w:val="21"/>
        </w:rPr>
      </w:pPr>
      <w:r>
        <w:rPr>
          <w:rFonts w:hint="eastAsia" w:ascii="Times New Roman" w:hAnsi="Times New Roman" w:eastAsia="仿宋"/>
          <w:sz w:val="28"/>
          <w:szCs w:val="21"/>
        </w:rPr>
        <w:t>附件</w:t>
      </w:r>
    </w:p>
    <w:p w14:paraId="75136828">
      <w:pPr>
        <w:spacing w:line="360" w:lineRule="auto"/>
        <w:ind w:firstLine="560" w:firstLineChars="200"/>
        <w:rPr>
          <w:rFonts w:hint="eastAsia" w:ascii="Times New Roman" w:hAnsi="Times New Roman" w:eastAsia="仿宋"/>
          <w:sz w:val="28"/>
          <w:szCs w:val="21"/>
        </w:rPr>
      </w:pPr>
      <w:r>
        <w:rPr>
          <w:rFonts w:hint="eastAsia" w:ascii="Times New Roman" w:hAnsi="Times New Roman" w:eastAsia="仿宋"/>
          <w:sz w:val="28"/>
          <w:szCs w:val="21"/>
        </w:rPr>
        <w:t>1.自治区农业农村厅主责广西科技计划项目2024年申报指南</w:t>
      </w:r>
    </w:p>
    <w:p w14:paraId="413F955F">
      <w:pPr>
        <w:spacing w:line="360" w:lineRule="auto"/>
        <w:ind w:firstLine="560" w:firstLineChars="200"/>
        <w:rPr>
          <w:rFonts w:ascii="Times New Roman" w:hAnsi="Times New Roman" w:eastAsia="仿宋"/>
          <w:sz w:val="28"/>
          <w:szCs w:val="21"/>
        </w:rPr>
      </w:pPr>
      <w:r>
        <w:rPr>
          <w:rFonts w:hint="eastAsia" w:ascii="Times New Roman" w:hAnsi="Times New Roman" w:eastAsia="仿宋"/>
          <w:sz w:val="28"/>
          <w:szCs w:val="21"/>
          <w:lang w:val="en-US" w:eastAsia="zh-CN"/>
        </w:rPr>
        <w:t>2.广西重点研发计划项目等申报须知和申报书（模板）</w:t>
      </w:r>
    </w:p>
    <w:p w14:paraId="38123070">
      <w:pPr>
        <w:pStyle w:val="3"/>
        <w:widowControl/>
        <w:spacing w:beforeAutospacing="0" w:afterAutospacing="0" w:line="360" w:lineRule="auto"/>
        <w:ind w:firstLine="560" w:firstLineChars="200"/>
        <w:rPr>
          <w:rFonts w:hint="eastAsia" w:ascii="Times New Roman" w:hAnsi="Times New Roman" w:eastAsia="仿宋" w:cstheme="minorBidi"/>
          <w:kern w:val="2"/>
          <w:sz w:val="28"/>
          <w:szCs w:val="21"/>
          <w:lang w:val="en-US" w:eastAsia="zh-CN" w:bidi="ar-SA"/>
        </w:rPr>
      </w:pPr>
      <w:r>
        <w:rPr>
          <w:rFonts w:hint="eastAsia" w:ascii="Times New Roman" w:hAnsi="Times New Roman" w:eastAsia="仿宋" w:cstheme="minorBidi"/>
          <w:kern w:val="2"/>
          <w:sz w:val="28"/>
          <w:szCs w:val="21"/>
          <w:lang w:val="en-US" w:eastAsia="zh-CN" w:bidi="ar-SA"/>
        </w:rPr>
        <w:t>3.联合申报项目合作协议书</w:t>
      </w:r>
    </w:p>
    <w:p w14:paraId="7081F16E">
      <w:pPr>
        <w:pStyle w:val="3"/>
        <w:widowControl/>
        <w:spacing w:beforeAutospacing="0" w:afterAutospacing="0" w:line="360" w:lineRule="auto"/>
        <w:ind w:firstLine="560" w:firstLineChars="200"/>
        <w:rPr>
          <w:rFonts w:hint="default" w:ascii="Times New Roman" w:hAnsi="Times New Roman" w:eastAsia="仿宋" w:cstheme="minorBidi"/>
          <w:kern w:val="2"/>
          <w:sz w:val="28"/>
          <w:szCs w:val="21"/>
          <w:lang w:val="en-US" w:eastAsia="zh-CN" w:bidi="ar-SA"/>
        </w:rPr>
      </w:pPr>
      <w:r>
        <w:rPr>
          <w:rFonts w:hint="eastAsia" w:ascii="Times New Roman" w:hAnsi="Times New Roman" w:eastAsia="仿宋" w:cstheme="minorBidi"/>
          <w:kern w:val="2"/>
          <w:sz w:val="28"/>
          <w:szCs w:val="21"/>
          <w:lang w:val="en-US" w:eastAsia="zh-CN" w:bidi="ar-SA"/>
        </w:rPr>
        <w:t>4.科研伦理审查材料</w:t>
      </w:r>
    </w:p>
    <w:p w14:paraId="5D1D498D">
      <w:pPr>
        <w:pStyle w:val="3"/>
        <w:widowControl/>
        <w:spacing w:beforeAutospacing="0" w:afterAutospacing="0" w:line="360" w:lineRule="auto"/>
        <w:ind w:firstLine="480" w:firstLineChars="200"/>
        <w:rPr>
          <w:rFonts w:ascii="Times New Roman" w:hAnsi="Times New Roman" w:eastAsia="仿宋"/>
        </w:rPr>
      </w:pPr>
    </w:p>
    <w:p w14:paraId="5494FAE2">
      <w:pPr>
        <w:pStyle w:val="3"/>
        <w:widowControl/>
        <w:spacing w:beforeAutospacing="0" w:afterAutospacing="0" w:line="360" w:lineRule="auto"/>
        <w:ind w:firstLine="480" w:firstLineChars="200"/>
        <w:rPr>
          <w:rFonts w:ascii="Times New Roman" w:hAnsi="Times New Roman" w:eastAsia="仿宋"/>
        </w:rPr>
      </w:pPr>
      <w:r>
        <w:rPr>
          <w:rFonts w:hint="eastAsia" w:ascii="Times New Roman" w:hAnsi="Times New Roman" w:eastAsia="仿宋"/>
        </w:rPr>
        <w:t> </w:t>
      </w:r>
    </w:p>
    <w:p w14:paraId="46CD2978">
      <w:pPr>
        <w:pStyle w:val="3"/>
        <w:widowControl/>
        <w:spacing w:beforeAutospacing="0" w:afterAutospacing="0" w:line="360" w:lineRule="auto"/>
        <w:ind w:firstLine="560" w:firstLineChars="200"/>
        <w:jc w:val="right"/>
        <w:rPr>
          <w:rFonts w:ascii="Times New Roman" w:hAnsi="Times New Roman" w:eastAsia="仿宋" w:cstheme="minorBidi"/>
          <w:kern w:val="2"/>
          <w:sz w:val="28"/>
          <w:szCs w:val="21"/>
        </w:rPr>
      </w:pPr>
      <w:r>
        <w:rPr>
          <w:rFonts w:hint="eastAsia" w:ascii="Times New Roman" w:hAnsi="Times New Roman" w:eastAsia="仿宋" w:cstheme="minorBidi"/>
          <w:kern w:val="2"/>
          <w:sz w:val="28"/>
          <w:szCs w:val="21"/>
        </w:rPr>
        <w:t>广西中医药大学科技处</w:t>
      </w:r>
    </w:p>
    <w:p w14:paraId="034011F1">
      <w:pPr>
        <w:pStyle w:val="3"/>
        <w:widowControl/>
        <w:spacing w:beforeAutospacing="0" w:afterAutospacing="0" w:line="360" w:lineRule="auto"/>
        <w:ind w:firstLine="560" w:firstLineChars="200"/>
        <w:jc w:val="right"/>
        <w:rPr>
          <w:rFonts w:ascii="Times New Roman" w:hAnsi="Times New Roman" w:eastAsia="仿宋" w:cstheme="minorBidi"/>
          <w:kern w:val="2"/>
          <w:sz w:val="28"/>
          <w:szCs w:val="21"/>
        </w:rPr>
      </w:pPr>
      <w:r>
        <w:rPr>
          <w:rFonts w:hint="eastAsia" w:ascii="Times New Roman" w:hAnsi="Times New Roman" w:eastAsia="仿宋" w:cstheme="minorBidi"/>
          <w:kern w:val="2"/>
          <w:sz w:val="28"/>
          <w:szCs w:val="21"/>
        </w:rPr>
        <w:t>202</w:t>
      </w:r>
      <w:r>
        <w:rPr>
          <w:rFonts w:hint="eastAsia" w:ascii="Times New Roman" w:hAnsi="Times New Roman" w:eastAsia="仿宋" w:cstheme="minorBidi"/>
          <w:kern w:val="2"/>
          <w:sz w:val="28"/>
          <w:szCs w:val="21"/>
          <w:lang w:val="en-US" w:eastAsia="zh-CN"/>
        </w:rPr>
        <w:t>4</w:t>
      </w:r>
      <w:r>
        <w:rPr>
          <w:rFonts w:hint="eastAsia" w:ascii="Times New Roman" w:hAnsi="Times New Roman" w:eastAsia="仿宋" w:cstheme="minorBidi"/>
          <w:kern w:val="2"/>
          <w:sz w:val="28"/>
          <w:szCs w:val="21"/>
        </w:rPr>
        <w:t>年</w:t>
      </w:r>
      <w:r>
        <w:rPr>
          <w:rFonts w:hint="eastAsia" w:ascii="Times New Roman" w:hAnsi="Times New Roman" w:eastAsia="仿宋" w:cstheme="minorBidi"/>
          <w:kern w:val="2"/>
          <w:sz w:val="28"/>
          <w:szCs w:val="21"/>
          <w:lang w:val="en-US" w:eastAsia="zh-CN"/>
        </w:rPr>
        <w:t>12</w:t>
      </w:r>
      <w:r>
        <w:rPr>
          <w:rFonts w:hint="eastAsia" w:ascii="Times New Roman" w:hAnsi="Times New Roman" w:eastAsia="仿宋" w:cstheme="minorBidi"/>
          <w:kern w:val="2"/>
          <w:sz w:val="28"/>
          <w:szCs w:val="21"/>
        </w:rPr>
        <w:t>月</w:t>
      </w:r>
      <w:r>
        <w:rPr>
          <w:rFonts w:hint="eastAsia" w:ascii="Times New Roman" w:hAnsi="Times New Roman" w:eastAsia="仿宋" w:cstheme="minorBidi"/>
          <w:kern w:val="2"/>
          <w:sz w:val="28"/>
          <w:szCs w:val="21"/>
          <w:lang w:val="en-US" w:eastAsia="zh-CN"/>
        </w:rPr>
        <w:t>5</w:t>
      </w:r>
      <w:r>
        <w:rPr>
          <w:rFonts w:hint="eastAsia" w:ascii="Times New Roman" w:hAnsi="Times New Roman" w:eastAsia="仿宋" w:cstheme="minorBidi"/>
          <w:kern w:val="2"/>
          <w:sz w:val="28"/>
          <w:szCs w:val="21"/>
        </w:rPr>
        <w:t>日</w:t>
      </w:r>
    </w:p>
    <w:p w14:paraId="40BAF2EE">
      <w:pPr>
        <w:pStyle w:val="3"/>
        <w:widowControl/>
        <w:spacing w:beforeAutospacing="0" w:afterAutospacing="0" w:line="360" w:lineRule="auto"/>
        <w:ind w:firstLine="560" w:firstLineChars="200"/>
        <w:rPr>
          <w:rFonts w:ascii="Times New Roman" w:hAnsi="Times New Roman" w:eastAsia="仿宋" w:cstheme="minorBidi"/>
          <w:kern w:val="2"/>
          <w:sz w:val="28"/>
          <w:szCs w:val="21"/>
        </w:rPr>
      </w:pPr>
    </w:p>
    <w:p w14:paraId="3315FD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wNTExMjY1ZGY5ZTQ2MWQ3ZDIxOWM2MDY0NGY4OTEifQ=="/>
  </w:docVars>
  <w:rsids>
    <w:rsidRoot w:val="00C437E3"/>
    <w:rsid w:val="00033E44"/>
    <w:rsid w:val="00846015"/>
    <w:rsid w:val="0091172B"/>
    <w:rsid w:val="00A707C1"/>
    <w:rsid w:val="00C1113B"/>
    <w:rsid w:val="00C437E3"/>
    <w:rsid w:val="0C285371"/>
    <w:rsid w:val="1D203685"/>
    <w:rsid w:val="24020BAF"/>
    <w:rsid w:val="3380260E"/>
    <w:rsid w:val="3CAF3366"/>
    <w:rsid w:val="46AD3EE3"/>
    <w:rsid w:val="4B5622E2"/>
    <w:rsid w:val="4C357EFB"/>
    <w:rsid w:val="55AB1C09"/>
    <w:rsid w:val="63FD6CA9"/>
    <w:rsid w:val="66D103A4"/>
    <w:rsid w:val="66DC5967"/>
    <w:rsid w:val="6CA84A14"/>
    <w:rsid w:val="7A2F1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Hyperlink"/>
    <w:basedOn w:val="5"/>
    <w:qFormat/>
    <w:uiPriority w:val="0"/>
    <w:rPr>
      <w:color w:val="0000FF"/>
      <w:u w:val="single"/>
    </w:r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1688</Words>
  <Characters>1947</Characters>
  <Lines>8</Lines>
  <Paragraphs>2</Paragraphs>
  <TotalTime>3</TotalTime>
  <ScaleCrop>false</ScaleCrop>
  <LinksUpToDate>false</LinksUpToDate>
  <CharactersWithSpaces>1948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2022-04-14T02:18:00Z</dcterms:created>
  <dc:creator>mac</dc:creator>
  <cp:lastModifiedBy>Xiashou</cp:lastModifiedBy>
  <dcterms:modified xsi:type="dcterms:W3CDTF">2024-12-05T10:47:28Z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24F29A6EC9784B4296DD83652EB2E000_13</vt:lpwstr>
  </property>
</Properties>
</file>